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25"/>
        <w:gridCol w:w="4918"/>
        <w:gridCol w:w="3117"/>
      </w:tblGrid>
      <w:tr w:rsidR="0067436D" w14:paraId="6CEA2897" w14:textId="77777777">
        <w:tc>
          <w:tcPr>
            <w:tcW w:w="1100"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vAlign w:val="center"/>
          </w:tcPr>
          <w:p w14:paraId="7243669D" w14:textId="77777777" w:rsidR="0067436D" w:rsidRDefault="00D62E2D">
            <w:r>
              <w:rPr>
                <w:noProof/>
                <w:lang w:val="en-IN" w:eastAsia="en-IN"/>
              </w:rPr>
              <w:drawing>
                <wp:inline distT="0" distB="0" distL="0" distR="0" wp14:anchorId="66855C4A" wp14:editId="2532632B">
                  <wp:extent cx="71437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714375" cy="762000"/>
                          </a:xfrm>
                          <a:prstGeom prst="rect">
                            <a:avLst/>
                          </a:prstGeom>
                        </pic:spPr>
                      </pic:pic>
                    </a:graphicData>
                  </a:graphic>
                </wp:inline>
              </w:drawing>
            </w:r>
          </w:p>
        </w:tc>
        <w:tc>
          <w:tcPr>
            <w:tcW w:w="5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EC48701" w14:textId="1B32371E" w:rsidR="0067436D" w:rsidRDefault="0073654C">
            <w:pPr>
              <w:spacing w:after="16"/>
            </w:pPr>
            <w:r>
              <w:rPr>
                <w:b/>
                <w:bCs/>
                <w:color w:val="744A98"/>
                <w:spacing w:val="40"/>
                <w:sz w:val="44"/>
                <w:szCs w:val="44"/>
              </w:rPr>
              <w:t>AC SOLUTIONS</w:t>
            </w:r>
          </w:p>
          <w:p w14:paraId="747BEF7A" w14:textId="1E5E9776" w:rsidR="0067436D" w:rsidRDefault="0073654C">
            <w:r>
              <w:rPr>
                <w:i/>
                <w:iCs/>
                <w:color w:val="6B7280"/>
                <w:sz w:val="18"/>
                <w:szCs w:val="18"/>
              </w:rPr>
              <w:t>Building a Better Business</w:t>
            </w:r>
          </w:p>
        </w:tc>
        <w:tc>
          <w:tcPr>
            <w:tcW w:w="32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519F0B6A" w14:textId="77777777" w:rsidR="0067436D" w:rsidRDefault="00D62E2D">
            <w:pPr>
              <w:spacing w:after="16"/>
              <w:jc w:val="right"/>
            </w:pPr>
            <w:r>
              <w:rPr>
                <w:b/>
                <w:bCs/>
                <w:color w:val="C9892F"/>
                <w:spacing w:val="80"/>
                <w:sz w:val="16"/>
                <w:szCs w:val="16"/>
              </w:rPr>
              <w:t>MONTHLY NEWSLETTER</w:t>
            </w:r>
          </w:p>
          <w:p w14:paraId="5D85B128" w14:textId="436613F4" w:rsidR="0067436D" w:rsidRDefault="00056CE0" w:rsidP="00056CE0">
            <w:pPr>
              <w:jc w:val="center"/>
            </w:pPr>
            <w:r>
              <w:rPr>
                <w:color w:val="6B7280"/>
                <w:sz w:val="18"/>
                <w:szCs w:val="18"/>
              </w:rPr>
              <w:t xml:space="preserve">                                                         July 2026</w:t>
            </w:r>
          </w:p>
        </w:tc>
      </w:tr>
    </w:tbl>
    <w:p w14:paraId="6E24199F" w14:textId="77777777" w:rsidR="0067436D" w:rsidRDefault="0067436D">
      <w:pPr>
        <w:spacing w:after="63"/>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7436D" w14:paraId="0F3380F6" w14:textId="77777777">
        <w:tc>
          <w:tcPr>
            <w:tcW w:w="9360" w:type="dxa"/>
            <w:tcBorders>
              <w:top w:val="none" w:sz="0" w:space="0" w:color="FFFFFF"/>
              <w:left w:val="none" w:sz="0" w:space="0" w:color="FFFFFF"/>
              <w:bottom w:val="none" w:sz="0" w:space="0" w:color="FFFFFF"/>
              <w:right w:val="none" w:sz="0" w:space="0" w:color="FFFFFF"/>
            </w:tcBorders>
            <w:shd w:val="clear" w:color="auto" w:fill="472D5E"/>
            <w:tcMar>
              <w:top w:w="280" w:type="dxa"/>
              <w:left w:w="320" w:type="dxa"/>
              <w:bottom w:w="280" w:type="dxa"/>
              <w:right w:w="320" w:type="dxa"/>
            </w:tcMar>
          </w:tcPr>
          <w:p w14:paraId="3313871F" w14:textId="6CFCBBCA" w:rsidR="0067436D" w:rsidRDefault="008D561D" w:rsidP="0073654C">
            <w:bookmarkStart w:id="0" w:name="_GoBack"/>
            <w:r>
              <w:rPr>
                <w:rStyle w:val="Strong"/>
                <w:sz w:val="28"/>
                <w:szCs w:val="28"/>
              </w:rPr>
              <w:t>Care Sector on Alert: New Right to Work Rules Arrive This October</w:t>
            </w:r>
            <w:r>
              <w:rPr>
                <w:sz w:val="28"/>
                <w:szCs w:val="28"/>
              </w:rPr>
              <w:br/>
            </w:r>
            <w:bookmarkEnd w:id="0"/>
            <w:r>
              <w:rPr>
                <w:rStyle w:val="Emphasis"/>
              </w:rPr>
              <w:t>What every care provider needs to know about recruitment, compliance and avoiding costly penalties.</w:t>
            </w:r>
          </w:p>
        </w:tc>
      </w:tr>
    </w:tbl>
    <w:p w14:paraId="45E728E5" w14:textId="77777777" w:rsidR="0067436D" w:rsidRDefault="0067436D">
      <w:pPr>
        <w:spacing w:after="9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9240"/>
      </w:tblGrid>
      <w:tr w:rsidR="0067436D" w14:paraId="406E047D" w14:textId="77777777">
        <w:tc>
          <w:tcPr>
            <w:tcW w:w="120" w:type="dxa"/>
            <w:tcBorders>
              <w:top w:val="none" w:sz="0" w:space="0" w:color="FFFFFF"/>
              <w:left w:val="none" w:sz="0" w:space="0" w:color="FFFFFF"/>
              <w:bottom w:val="none" w:sz="0" w:space="0" w:color="FFFFFF"/>
              <w:right w:val="none" w:sz="0" w:space="0" w:color="FFFFFF"/>
            </w:tcBorders>
            <w:shd w:val="clear" w:color="auto" w:fill="C9892F"/>
            <w:tcMar>
              <w:top w:w="60" w:type="dxa"/>
              <w:left w:w="0" w:type="dxa"/>
              <w:bottom w:w="60" w:type="dxa"/>
              <w:right w:w="0" w:type="dxa"/>
            </w:tcMar>
          </w:tcPr>
          <w:p w14:paraId="5018B6A0" w14:textId="77777777" w:rsidR="0067436D" w:rsidRDefault="0067436D"/>
        </w:tc>
        <w:tc>
          <w:tcPr>
            <w:tcW w:w="9240" w:type="dxa"/>
            <w:tcBorders>
              <w:top w:val="none" w:sz="0" w:space="0" w:color="FFFFFF"/>
              <w:left w:val="none" w:sz="0" w:space="0" w:color="FFFFFF"/>
              <w:bottom w:val="none" w:sz="0" w:space="0" w:color="FFFFFF"/>
              <w:right w:val="none" w:sz="0" w:space="0" w:color="FFFFFF"/>
            </w:tcBorders>
            <w:tcMar>
              <w:top w:w="80" w:type="dxa"/>
              <w:left w:w="200" w:type="dxa"/>
              <w:bottom w:w="60" w:type="dxa"/>
              <w:right w:w="100" w:type="dxa"/>
            </w:tcMar>
          </w:tcPr>
          <w:p w14:paraId="5F23055E" w14:textId="77777777" w:rsidR="0067436D" w:rsidRDefault="00D62E2D">
            <w:pPr>
              <w:spacing w:after="16"/>
            </w:pPr>
            <w:r>
              <w:rPr>
                <w:b/>
                <w:bCs/>
                <w:color w:val="C9892F"/>
                <w:spacing w:val="60"/>
                <w:sz w:val="18"/>
                <w:szCs w:val="18"/>
              </w:rPr>
              <w:t>FROM THE TEAM</w:t>
            </w:r>
          </w:p>
          <w:p w14:paraId="5D91E0E8" w14:textId="77777777" w:rsidR="0067436D" w:rsidRDefault="00D62E2D">
            <w:r>
              <w:rPr>
                <w:b/>
                <w:bCs/>
                <w:color w:val="744A98"/>
                <w:sz w:val="32"/>
                <w:szCs w:val="32"/>
              </w:rPr>
              <w:t>A note from us</w:t>
            </w:r>
          </w:p>
        </w:tc>
      </w:tr>
    </w:tbl>
    <w:p w14:paraId="57AF11F1" w14:textId="77777777" w:rsidR="0067436D" w:rsidRDefault="0067436D">
      <w:pPr>
        <w:spacing w:after="47"/>
      </w:pPr>
    </w:p>
    <w:p w14:paraId="56B1DFE7" w14:textId="5B92AD30" w:rsidR="007E57B7" w:rsidRPr="007E57B7" w:rsidRDefault="007E57B7" w:rsidP="007E57B7">
      <w:pPr>
        <w:pStyle w:val="NormalWeb"/>
        <w:rPr>
          <w:rFonts w:ascii="Calibri" w:hAnsi="Calibri" w:cs="Calibri"/>
          <w:sz w:val="22"/>
          <w:szCs w:val="22"/>
        </w:rPr>
      </w:pPr>
      <w:r>
        <w:rPr>
          <w:rFonts w:ascii="Calibri" w:hAnsi="Calibri" w:cs="Calibri"/>
          <w:sz w:val="22"/>
          <w:szCs w:val="22"/>
        </w:rPr>
        <w:t xml:space="preserve">Welcome to this month's edition. Just when you thought you had finally got to grips with Right to Work checks, the Home Office has decided to shake things up again. The </w:t>
      </w:r>
      <w:r w:rsidR="00117D30">
        <w:rPr>
          <w:rFonts w:ascii="Calibri" w:hAnsi="Calibri" w:cs="Calibri"/>
          <w:sz w:val="22"/>
          <w:szCs w:val="22"/>
        </w:rPr>
        <w:t>DRAFT</w:t>
      </w:r>
      <w:r>
        <w:rPr>
          <w:rFonts w:ascii="Calibri" w:hAnsi="Calibri" w:cs="Calibri"/>
          <w:sz w:val="22"/>
          <w:szCs w:val="22"/>
        </w:rPr>
        <w:t xml:space="preserve"> guidance for 2026 introduces a number of important changes that employers will need to understand well before they come into force. The good news? We've done the heavy lifting for you, so hopefully what looks like another compliance headache will feel a little more manageable by the time you've finished reading.</w:t>
      </w:r>
    </w:p>
    <w:p w14:paraId="00E77418" w14:textId="77777777" w:rsidR="007E57B7" w:rsidRPr="007E57B7" w:rsidRDefault="007E57B7" w:rsidP="007E57B7">
      <w:pPr>
        <w:pStyle w:val="NormalWeb"/>
        <w:rPr>
          <w:rFonts w:ascii="Calibri" w:hAnsi="Calibri" w:cs="Calibri"/>
          <w:sz w:val="22"/>
          <w:szCs w:val="22"/>
        </w:rPr>
      </w:pPr>
      <w:r>
        <w:rPr>
          <w:rFonts w:ascii="Calibri" w:hAnsi="Calibri" w:cs="Calibri"/>
          <w:sz w:val="22"/>
          <w:szCs w:val="22"/>
        </w:rPr>
        <w:t>In this issue, we break down the proposed changes into plain English, highlight what they could mean for your recruitment processes, and explain the practical steps you can start taking now. We've also included a few pointers to help you avoid the common pitfalls that can catch employers out.</w:t>
      </w:r>
    </w:p>
    <w:p w14:paraId="4A5D61A8" w14:textId="77777777" w:rsidR="007E57B7" w:rsidRPr="007E57B7" w:rsidRDefault="007E57B7" w:rsidP="007E57B7">
      <w:pPr>
        <w:pStyle w:val="NormalWeb"/>
        <w:rPr>
          <w:rFonts w:ascii="Calibri" w:hAnsi="Calibri" w:cs="Calibri"/>
          <w:sz w:val="22"/>
          <w:szCs w:val="22"/>
        </w:rPr>
      </w:pPr>
      <w:r>
        <w:rPr>
          <w:rFonts w:ascii="Calibri" w:hAnsi="Calibri" w:cs="Calibri"/>
          <w:sz w:val="22"/>
          <w:szCs w:val="22"/>
        </w:rPr>
        <w:t>Our key takeaway this month is that Right to Work checks are no longer just a box-ticking exercise. Getting them right is becoming an essential part of good governance and protecting your organisation from unnecessary risk. A little preparation now could save a lot of pain later.</w:t>
      </w:r>
    </w:p>
    <w:p w14:paraId="7B7858EC" w14:textId="77777777" w:rsidR="007E57B7" w:rsidRPr="00056CE0" w:rsidRDefault="007E57B7" w:rsidP="007E57B7">
      <w:pPr>
        <w:pStyle w:val="NormalWeb"/>
        <w:rPr>
          <w:rFonts w:ascii="Calibri" w:hAnsi="Calibri" w:cs="Calibri"/>
          <w:i/>
          <w:color w:val="7030A0"/>
          <w:sz w:val="22"/>
          <w:szCs w:val="22"/>
        </w:rPr>
      </w:pPr>
      <w:r>
        <w:rPr>
          <w:rFonts w:ascii="Calibri" w:hAnsi="Calibri" w:cs="Calibri"/>
          <w:sz w:val="22"/>
          <w:szCs w:val="22"/>
        </w:rPr>
        <w:t xml:space="preserve">— </w:t>
      </w:r>
      <w:r>
        <w:rPr>
          <w:rFonts w:ascii="Calibri" w:hAnsi="Calibri" w:cs="Calibri"/>
          <w:i/>
          <w:color w:val="7030A0"/>
          <w:sz w:val="22"/>
          <w:szCs w:val="22"/>
        </w:rPr>
        <w:t>Jasmine Sehgal, Director</w:t>
      </w:r>
    </w:p>
    <w:p w14:paraId="359C6A0E" w14:textId="77777777" w:rsidR="00136F7C" w:rsidRDefault="00136F7C">
      <w:pPr>
        <w:pBdr>
          <w:bottom w:val="single" w:sz="8" w:space="1" w:color="744A98"/>
        </w:pBdr>
        <w:spacing w:before="24" w:after="47"/>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9240"/>
      </w:tblGrid>
      <w:tr w:rsidR="0067436D" w14:paraId="7AF26304" w14:textId="77777777">
        <w:tc>
          <w:tcPr>
            <w:tcW w:w="120" w:type="dxa"/>
            <w:tcBorders>
              <w:top w:val="none" w:sz="0" w:space="0" w:color="FFFFFF"/>
              <w:left w:val="none" w:sz="0" w:space="0" w:color="FFFFFF"/>
              <w:bottom w:val="none" w:sz="0" w:space="0" w:color="FFFFFF"/>
              <w:right w:val="none" w:sz="0" w:space="0" w:color="FFFFFF"/>
            </w:tcBorders>
            <w:shd w:val="clear" w:color="auto" w:fill="C9892F"/>
            <w:tcMar>
              <w:top w:w="60" w:type="dxa"/>
              <w:left w:w="0" w:type="dxa"/>
              <w:bottom w:w="60" w:type="dxa"/>
              <w:right w:w="0" w:type="dxa"/>
            </w:tcMar>
          </w:tcPr>
          <w:p w14:paraId="5B4F404B" w14:textId="77777777" w:rsidR="0067436D" w:rsidRDefault="0067436D"/>
        </w:tc>
        <w:tc>
          <w:tcPr>
            <w:tcW w:w="9240" w:type="dxa"/>
            <w:tcBorders>
              <w:top w:val="none" w:sz="0" w:space="0" w:color="FFFFFF"/>
              <w:left w:val="none" w:sz="0" w:space="0" w:color="FFFFFF"/>
              <w:bottom w:val="none" w:sz="0" w:space="0" w:color="FFFFFF"/>
              <w:right w:val="none" w:sz="0" w:space="0" w:color="FFFFFF"/>
            </w:tcBorders>
            <w:tcMar>
              <w:top w:w="80" w:type="dxa"/>
              <w:left w:w="200" w:type="dxa"/>
              <w:bottom w:w="60" w:type="dxa"/>
              <w:right w:w="100" w:type="dxa"/>
            </w:tcMar>
          </w:tcPr>
          <w:p w14:paraId="0A6251B2" w14:textId="77777777" w:rsidR="0067436D" w:rsidRDefault="00D62E2D">
            <w:pPr>
              <w:spacing w:after="16"/>
            </w:pPr>
            <w:r>
              <w:rPr>
                <w:b/>
                <w:bCs/>
                <w:color w:val="C9892F"/>
                <w:spacing w:val="60"/>
                <w:sz w:val="18"/>
                <w:szCs w:val="18"/>
              </w:rPr>
              <w:t>SECTION 1</w:t>
            </w:r>
          </w:p>
          <w:p w14:paraId="78E4C1F9" w14:textId="3863399F" w:rsidR="0067436D" w:rsidRDefault="0073654C">
            <w:r>
              <w:rPr>
                <w:b/>
                <w:bCs/>
                <w:color w:val="744A98"/>
                <w:sz w:val="32"/>
                <w:szCs w:val="32"/>
              </w:rPr>
              <w:t xml:space="preserve"> </w:t>
            </w:r>
          </w:p>
        </w:tc>
      </w:tr>
    </w:tbl>
    <w:p w14:paraId="5EAD3D45" w14:textId="77777777" w:rsidR="007E57B7" w:rsidRPr="007E57B7" w:rsidRDefault="007E57B7" w:rsidP="007E57B7">
      <w:pPr>
        <w:spacing w:before="15" w:after="32"/>
        <w:outlineLvl w:val="1"/>
        <w:rPr>
          <w:rFonts w:eastAsia="Times New Roman"/>
          <w:b/>
          <w:bCs/>
          <w:color w:val="7030A0"/>
          <w:sz w:val="32"/>
          <w:szCs w:val="32"/>
          <w:lang w:val="en-IN" w:eastAsia="en-IN"/>
        </w:rPr>
      </w:pPr>
      <w:r>
        <w:rPr>
          <w:rFonts w:eastAsia="Times New Roman"/>
          <w:b/>
          <w:bCs/>
          <w:color w:val="7030A0"/>
          <w:sz w:val="32"/>
          <w:szCs w:val="32"/>
          <w:lang w:val="en-IN" w:eastAsia="en-IN"/>
        </w:rPr>
        <w:t>What's changing in international recruitment?</w:t>
      </w:r>
    </w:p>
    <w:p w14:paraId="37145C74" w14:textId="77777777" w:rsidR="007E57B7" w:rsidRPr="007E57B7" w:rsidRDefault="007E57B7" w:rsidP="007E57B7">
      <w:pPr>
        <w:spacing w:before="15" w:after="32"/>
        <w:outlineLvl w:val="2"/>
        <w:rPr>
          <w:rFonts w:eastAsia="Times New Roman"/>
          <w:b/>
          <w:bCs/>
          <w:lang w:val="en-IN" w:eastAsia="en-IN"/>
        </w:rPr>
      </w:pPr>
      <w:r>
        <w:rPr>
          <w:rFonts w:eastAsia="Times New Roman"/>
          <w:b/>
          <w:bCs/>
          <w:lang w:val="en-IN" w:eastAsia="en-IN"/>
        </w:rPr>
        <w:t>New Right to Work Rules – Effective 1 October 2026</w:t>
      </w:r>
    </w:p>
    <w:p w14:paraId="232BA68F" w14:textId="77777777" w:rsidR="007E57B7" w:rsidRPr="007E57B7" w:rsidRDefault="007E57B7" w:rsidP="007E57B7">
      <w:pPr>
        <w:spacing w:before="15" w:after="32"/>
        <w:rPr>
          <w:rFonts w:eastAsia="Times New Roman"/>
          <w:lang w:val="en-IN" w:eastAsia="en-IN"/>
        </w:rPr>
      </w:pPr>
      <w:r>
        <w:rPr>
          <w:rFonts w:eastAsia="Times New Roman"/>
          <w:lang w:val="en-IN" w:eastAsia="en-IN"/>
        </w:rPr>
        <w:t>The Home Office has introduced the biggest overhaul of Right to Work guidance in several years. The changes extend employer responsibilities, introduce tougher compliance requirements and significantly increase the cost of getting it wrong.</w:t>
      </w:r>
    </w:p>
    <w:p w14:paraId="5CA17C50" w14:textId="77777777" w:rsidR="007E57B7" w:rsidRPr="007E57B7" w:rsidRDefault="007E57B7" w:rsidP="007E57B7">
      <w:pPr>
        <w:spacing w:before="15" w:after="32"/>
        <w:outlineLvl w:val="2"/>
        <w:rPr>
          <w:rFonts w:eastAsia="Times New Roman"/>
          <w:b/>
          <w:bCs/>
          <w:lang w:val="en-IN" w:eastAsia="en-IN"/>
        </w:rPr>
      </w:pPr>
      <w:r>
        <w:rPr>
          <w:rFonts w:eastAsia="Times New Roman"/>
          <w:b/>
          <w:bCs/>
          <w:lang w:val="en-IN" w:eastAsia="en-IN"/>
        </w:rPr>
        <w:t>Higher Civil Penalties</w:t>
      </w:r>
    </w:p>
    <w:p w14:paraId="3A2AE407" w14:textId="77777777" w:rsidR="007E57B7" w:rsidRPr="007E57B7" w:rsidRDefault="007E57B7" w:rsidP="007E57B7">
      <w:pPr>
        <w:spacing w:before="15" w:after="32"/>
        <w:rPr>
          <w:rFonts w:eastAsia="Times New Roman"/>
          <w:lang w:val="en-IN" w:eastAsia="en-IN"/>
        </w:rPr>
      </w:pPr>
      <w:r>
        <w:rPr>
          <w:rFonts w:eastAsia="Times New Roman"/>
          <w:lang w:val="en-IN" w:eastAsia="en-IN"/>
        </w:rPr>
        <w:t>Employers found employing someone without the correct right to work can now face penalties of:</w:t>
      </w:r>
    </w:p>
    <w:p w14:paraId="1A7AA7A7" w14:textId="77777777" w:rsidR="007E57B7" w:rsidRPr="007E57B7" w:rsidRDefault="007E57B7" w:rsidP="007E57B7">
      <w:pPr>
        <w:spacing w:before="15" w:after="32"/>
        <w:rPr>
          <w:rFonts w:eastAsia="Times New Roman"/>
          <w:lang w:val="en-IN" w:eastAsia="en-IN"/>
        </w:rPr>
      </w:pPr>
      <w:r>
        <w:rPr>
          <w:rFonts w:eastAsia="Times New Roman"/>
          <w:lang w:val="en-IN" w:eastAsia="en-IN"/>
        </w:rPr>
        <w:t xml:space="preserve">• </w:t>
      </w:r>
      <w:r>
        <w:rPr>
          <w:rFonts w:eastAsia="Times New Roman"/>
          <w:b/>
          <w:bCs/>
          <w:lang w:val="en-IN" w:eastAsia="en-IN"/>
        </w:rPr>
        <w:t>£45,000 per illegal worker</w:t>
      </w:r>
      <w:r>
        <w:rPr>
          <w:rFonts w:eastAsia="Times New Roman"/>
          <w:lang w:val="en-IN" w:eastAsia="en-IN"/>
        </w:rPr>
        <w:t xml:space="preserve"> for a first breach</w:t>
      </w:r>
      <w:r>
        <w:rPr>
          <w:rFonts w:eastAsia="Times New Roman"/>
          <w:lang w:val="en-IN" w:eastAsia="en-IN"/>
        </w:rPr>
        <w:br/>
        <w:t xml:space="preserve">• </w:t>
      </w:r>
      <w:r>
        <w:rPr>
          <w:rFonts w:eastAsia="Times New Roman"/>
          <w:b/>
          <w:bCs/>
          <w:lang w:val="en-IN" w:eastAsia="en-IN"/>
        </w:rPr>
        <w:t>£60,000 per illegal worker</w:t>
      </w:r>
      <w:r>
        <w:rPr>
          <w:rFonts w:eastAsia="Times New Roman"/>
          <w:lang w:val="en-IN" w:eastAsia="en-IN"/>
        </w:rPr>
        <w:t xml:space="preserve"> for repeat breaches within three years</w:t>
      </w:r>
    </w:p>
    <w:p w14:paraId="6E7E739A" w14:textId="77777777" w:rsidR="007E57B7" w:rsidRPr="007E57B7" w:rsidRDefault="007E57B7" w:rsidP="007E57B7">
      <w:pPr>
        <w:spacing w:before="15" w:after="32"/>
        <w:rPr>
          <w:rFonts w:eastAsia="Times New Roman"/>
          <w:lang w:val="en-IN" w:eastAsia="en-IN"/>
        </w:rPr>
      </w:pPr>
      <w:r>
        <w:rPr>
          <w:rFonts w:eastAsia="Times New Roman"/>
          <w:lang w:val="en-IN" w:eastAsia="en-IN"/>
        </w:rPr>
        <w:t>The best protection remains carrying out compliant Right to Work checks before employment begins and keeping proper records.</w:t>
      </w:r>
    </w:p>
    <w:p w14:paraId="0425D528" w14:textId="77777777" w:rsidR="007E57B7" w:rsidRPr="007E57B7" w:rsidRDefault="007E57B7" w:rsidP="007E57B7">
      <w:pPr>
        <w:spacing w:before="15" w:after="32"/>
        <w:outlineLvl w:val="2"/>
        <w:rPr>
          <w:rFonts w:eastAsia="Times New Roman"/>
          <w:b/>
          <w:bCs/>
          <w:lang w:val="en-IN" w:eastAsia="en-IN"/>
        </w:rPr>
      </w:pPr>
      <w:r>
        <w:rPr>
          <w:rFonts w:eastAsia="Times New Roman"/>
          <w:b/>
          <w:bCs/>
          <w:lang w:val="en-IN" w:eastAsia="en-IN"/>
        </w:rPr>
        <w:t>Digital First</w:t>
      </w:r>
    </w:p>
    <w:p w14:paraId="3A6F1CE6" w14:textId="77777777" w:rsidR="007E57B7" w:rsidRPr="007E57B7" w:rsidRDefault="007E57B7" w:rsidP="007E57B7">
      <w:pPr>
        <w:spacing w:before="15" w:after="32"/>
        <w:rPr>
          <w:rFonts w:eastAsia="Times New Roman"/>
          <w:lang w:val="en-IN" w:eastAsia="en-IN"/>
        </w:rPr>
      </w:pPr>
      <w:r>
        <w:rPr>
          <w:rFonts w:eastAsia="Times New Roman"/>
          <w:lang w:val="en-IN" w:eastAsia="en-IN"/>
        </w:rPr>
        <w:lastRenderedPageBreak/>
        <w:t>As the Home Office moves towards a fully digital immigration system:</w:t>
      </w:r>
    </w:p>
    <w:p w14:paraId="53B47454" w14:textId="77777777" w:rsidR="007E57B7" w:rsidRPr="007E57B7" w:rsidRDefault="007E57B7" w:rsidP="007E57B7">
      <w:pPr>
        <w:spacing w:before="15" w:after="32"/>
        <w:rPr>
          <w:rFonts w:eastAsia="Times New Roman"/>
          <w:lang w:val="en-IN" w:eastAsia="en-IN"/>
        </w:rPr>
      </w:pPr>
      <w:r>
        <w:rPr>
          <w:rFonts w:eastAsia="Times New Roman"/>
          <w:lang w:val="en-IN" w:eastAsia="en-IN"/>
        </w:rPr>
        <w:t xml:space="preserve">• More workers will prove their status using an </w:t>
      </w:r>
      <w:r>
        <w:rPr>
          <w:rFonts w:eastAsia="Times New Roman"/>
          <w:b/>
          <w:bCs/>
          <w:lang w:val="en-IN" w:eastAsia="en-IN"/>
        </w:rPr>
        <w:t>eVisa</w:t>
      </w:r>
      <w:r>
        <w:rPr>
          <w:rFonts w:eastAsia="Times New Roman"/>
          <w:lang w:val="en-IN" w:eastAsia="en-IN"/>
        </w:rPr>
        <w:br/>
        <w:t>• Employers must use the official Home Office online checking service where required</w:t>
      </w:r>
      <w:r>
        <w:rPr>
          <w:rFonts w:eastAsia="Times New Roman"/>
          <w:lang w:val="en-IN" w:eastAsia="en-IN"/>
        </w:rPr>
        <w:br/>
        <w:t>• Printed screenshots or copies of immigration status are no longer sufficient</w:t>
      </w:r>
    </w:p>
    <w:p w14:paraId="4CDF8D03" w14:textId="77777777" w:rsidR="007E57B7" w:rsidRPr="007E57B7" w:rsidRDefault="007E57B7" w:rsidP="007E57B7">
      <w:pPr>
        <w:spacing w:before="15" w:after="32"/>
        <w:outlineLvl w:val="2"/>
        <w:rPr>
          <w:rFonts w:eastAsia="Times New Roman"/>
          <w:b/>
          <w:bCs/>
          <w:lang w:val="en-IN" w:eastAsia="en-IN"/>
        </w:rPr>
      </w:pPr>
      <w:r>
        <w:rPr>
          <w:rFonts w:eastAsia="Times New Roman"/>
          <w:b/>
          <w:bCs/>
          <w:lang w:val="en-IN" w:eastAsia="en-IN"/>
        </w:rPr>
        <w:t>Wider Employer Responsibilities</w:t>
      </w:r>
    </w:p>
    <w:p w14:paraId="37318568" w14:textId="77777777" w:rsidR="007E57B7" w:rsidRPr="007E57B7" w:rsidRDefault="007E57B7" w:rsidP="007E57B7">
      <w:pPr>
        <w:spacing w:before="15" w:after="32"/>
        <w:rPr>
          <w:rFonts w:eastAsia="Times New Roman"/>
          <w:lang w:val="en-IN" w:eastAsia="en-IN"/>
        </w:rPr>
      </w:pPr>
      <w:r>
        <w:rPr>
          <w:rFonts w:eastAsia="Times New Roman"/>
          <w:lang w:val="en-IN" w:eastAsia="en-IN"/>
        </w:rPr>
        <w:t>The new legislation now extends Right to Work duties beyond traditional employees.</w:t>
      </w:r>
    </w:p>
    <w:p w14:paraId="01D7AE0B" w14:textId="77777777" w:rsidR="007E57B7" w:rsidRPr="007E57B7" w:rsidRDefault="007E57B7" w:rsidP="007E57B7">
      <w:pPr>
        <w:spacing w:before="15" w:after="32"/>
        <w:rPr>
          <w:rFonts w:eastAsia="Times New Roman"/>
          <w:lang w:val="en-IN" w:eastAsia="en-IN"/>
        </w:rPr>
      </w:pPr>
      <w:r>
        <w:rPr>
          <w:rFonts w:eastAsia="Times New Roman"/>
          <w:lang w:val="en-IN" w:eastAsia="en-IN"/>
        </w:rPr>
        <w:t>The rules may now also apply to:</w:t>
      </w:r>
    </w:p>
    <w:p w14:paraId="4A3C8582" w14:textId="77777777" w:rsidR="007E57B7" w:rsidRPr="007E57B7" w:rsidRDefault="007E57B7" w:rsidP="007E57B7">
      <w:pPr>
        <w:spacing w:before="15" w:after="32"/>
        <w:rPr>
          <w:rFonts w:eastAsia="Times New Roman"/>
          <w:lang w:val="en-IN" w:eastAsia="en-IN"/>
        </w:rPr>
      </w:pPr>
      <w:r>
        <w:rPr>
          <w:rFonts w:eastAsia="Times New Roman"/>
          <w:lang w:val="en-IN" w:eastAsia="en-IN"/>
        </w:rPr>
        <w:t>• agency workers</w:t>
      </w:r>
      <w:r>
        <w:rPr>
          <w:rFonts w:eastAsia="Times New Roman"/>
          <w:lang w:val="en-IN" w:eastAsia="en-IN"/>
        </w:rPr>
        <w:br/>
        <w:t>• workers engaged under worker contracts</w:t>
      </w:r>
      <w:r>
        <w:rPr>
          <w:rFonts w:eastAsia="Times New Roman"/>
          <w:lang w:val="en-IN" w:eastAsia="en-IN"/>
        </w:rPr>
        <w:br/>
        <w:t>• some subcontractors</w:t>
      </w:r>
      <w:r>
        <w:rPr>
          <w:rFonts w:eastAsia="Times New Roman"/>
          <w:lang w:val="en-IN" w:eastAsia="en-IN"/>
        </w:rPr>
        <w:br/>
        <w:t>• certain online matching platforms</w:t>
      </w:r>
    </w:p>
    <w:p w14:paraId="0EDA97D6" w14:textId="77777777" w:rsidR="007E57B7" w:rsidRPr="007E57B7" w:rsidRDefault="007E57B7" w:rsidP="007E57B7">
      <w:pPr>
        <w:spacing w:before="15" w:after="32"/>
        <w:rPr>
          <w:rFonts w:eastAsia="Times New Roman"/>
          <w:lang w:val="en-IN" w:eastAsia="en-IN"/>
        </w:rPr>
      </w:pPr>
      <w:r>
        <w:rPr>
          <w:rFonts w:eastAsia="Times New Roman"/>
          <w:lang w:val="en-IN" w:eastAsia="en-IN"/>
        </w:rPr>
        <w:t>Businesses should review who they engage and whether existing checking processes remain compliant</w:t>
      </w:r>
    </w:p>
    <w:p w14:paraId="705FFE9A" w14:textId="77777777" w:rsidR="0067436D" w:rsidRDefault="0067436D">
      <w:pPr>
        <w:pBdr>
          <w:bottom w:val="single" w:sz="8" w:space="1" w:color="744A98"/>
        </w:pBdr>
        <w:spacing w:before="24" w:after="47"/>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9240"/>
      </w:tblGrid>
      <w:tr w:rsidR="0067436D" w14:paraId="01F0A571" w14:textId="77777777">
        <w:tc>
          <w:tcPr>
            <w:tcW w:w="120" w:type="dxa"/>
            <w:tcBorders>
              <w:top w:val="none" w:sz="0" w:space="0" w:color="FFFFFF"/>
              <w:left w:val="none" w:sz="0" w:space="0" w:color="FFFFFF"/>
              <w:bottom w:val="none" w:sz="0" w:space="0" w:color="FFFFFF"/>
              <w:right w:val="none" w:sz="0" w:space="0" w:color="FFFFFF"/>
            </w:tcBorders>
            <w:shd w:val="clear" w:color="auto" w:fill="C9892F"/>
            <w:tcMar>
              <w:top w:w="60" w:type="dxa"/>
              <w:left w:w="0" w:type="dxa"/>
              <w:bottom w:w="60" w:type="dxa"/>
              <w:right w:w="0" w:type="dxa"/>
            </w:tcMar>
          </w:tcPr>
          <w:p w14:paraId="2DB75CC6" w14:textId="77777777" w:rsidR="0067436D" w:rsidRDefault="0067436D"/>
        </w:tc>
        <w:tc>
          <w:tcPr>
            <w:tcW w:w="9240" w:type="dxa"/>
            <w:tcBorders>
              <w:top w:val="none" w:sz="0" w:space="0" w:color="FFFFFF"/>
              <w:left w:val="none" w:sz="0" w:space="0" w:color="FFFFFF"/>
              <w:bottom w:val="none" w:sz="0" w:space="0" w:color="FFFFFF"/>
              <w:right w:val="none" w:sz="0" w:space="0" w:color="FFFFFF"/>
            </w:tcBorders>
            <w:tcMar>
              <w:top w:w="80" w:type="dxa"/>
              <w:left w:w="200" w:type="dxa"/>
              <w:bottom w:w="60" w:type="dxa"/>
              <w:right w:w="100" w:type="dxa"/>
            </w:tcMar>
          </w:tcPr>
          <w:p w14:paraId="6E6ED0F3" w14:textId="77777777" w:rsidR="0067436D" w:rsidRDefault="00D62E2D">
            <w:pPr>
              <w:spacing w:after="16"/>
            </w:pPr>
            <w:r>
              <w:rPr>
                <w:b/>
                <w:bCs/>
                <w:color w:val="C9892F"/>
                <w:spacing w:val="60"/>
                <w:sz w:val="18"/>
                <w:szCs w:val="18"/>
              </w:rPr>
              <w:t>SECTION 2</w:t>
            </w:r>
          </w:p>
          <w:p w14:paraId="2C52DCE2" w14:textId="77777777" w:rsidR="0067436D" w:rsidRDefault="00D62E2D">
            <w:r>
              <w:rPr>
                <w:b/>
                <w:bCs/>
                <w:color w:val="744A98"/>
                <w:sz w:val="32"/>
                <w:szCs w:val="32"/>
              </w:rPr>
              <w:t>Protecting your business — tips &amp; tricks</w:t>
            </w:r>
          </w:p>
        </w:tc>
      </w:tr>
    </w:tbl>
    <w:p w14:paraId="0807A3A4" w14:textId="77777777" w:rsidR="0067436D" w:rsidRDefault="0067436D">
      <w:pPr>
        <w:spacing w:after="47"/>
      </w:pPr>
    </w:p>
    <w:p w14:paraId="281D77EA" w14:textId="77777777" w:rsidR="0067436D" w:rsidRDefault="00D62E2D">
      <w:r>
        <w:rPr>
          <w:i/>
          <w:iCs/>
          <w:color w:val="6B7280"/>
        </w:rPr>
        <w:t>Practical, actionable advice you can apply this month. Pick one and try it — small consistent improvements compound.</w:t>
      </w:r>
    </w:p>
    <w:p w14:paraId="36E9FB46" w14:textId="77777777" w:rsidR="003D1FE6" w:rsidRPr="003D1FE6" w:rsidRDefault="003D1FE6" w:rsidP="003D1FE6">
      <w:pPr>
        <w:spacing w:before="15" w:after="32"/>
        <w:outlineLvl w:val="2"/>
        <w:rPr>
          <w:rFonts w:eastAsia="Times New Roman"/>
          <w:b/>
          <w:bCs/>
          <w:lang w:val="en-IN" w:eastAsia="en-IN"/>
        </w:rPr>
      </w:pPr>
      <w:r>
        <w:rPr>
          <w:rFonts w:eastAsia="Times New Roman"/>
          <w:b/>
          <w:bCs/>
          <w:lang w:val="en-IN" w:eastAsia="en-IN"/>
        </w:rPr>
        <w:t>Tip 1 — Never skip a Right to Work check</w:t>
      </w:r>
    </w:p>
    <w:p w14:paraId="49598EA9" w14:textId="77777777" w:rsidR="003D1FE6" w:rsidRPr="003D1FE6" w:rsidRDefault="003D1FE6" w:rsidP="003D1FE6">
      <w:pPr>
        <w:spacing w:before="15" w:after="32"/>
        <w:rPr>
          <w:rFonts w:eastAsia="Times New Roman"/>
          <w:lang w:val="en-IN" w:eastAsia="en-IN"/>
        </w:rPr>
      </w:pPr>
      <w:r>
        <w:rPr>
          <w:rFonts w:eastAsia="Times New Roman"/>
          <w:b/>
          <w:bCs/>
          <w:lang w:val="en-IN" w:eastAsia="en-IN"/>
        </w:rPr>
        <w:t>The risk</w:t>
      </w:r>
    </w:p>
    <w:p w14:paraId="0BC2C842" w14:textId="77777777" w:rsidR="003D1FE6" w:rsidRPr="003D1FE6" w:rsidRDefault="003D1FE6" w:rsidP="003D1FE6">
      <w:pPr>
        <w:spacing w:before="15" w:after="32"/>
        <w:rPr>
          <w:rFonts w:eastAsia="Times New Roman"/>
          <w:lang w:val="en-IN" w:eastAsia="en-IN"/>
        </w:rPr>
      </w:pPr>
      <w:r>
        <w:rPr>
          <w:rFonts w:eastAsia="Times New Roman"/>
          <w:lang w:val="en-IN" w:eastAsia="en-IN"/>
        </w:rPr>
        <w:t xml:space="preserve">Without a compliant Right to Work check you lose your statutory excuse and could face penalties of up to </w:t>
      </w:r>
      <w:r>
        <w:rPr>
          <w:rFonts w:eastAsia="Times New Roman"/>
          <w:b/>
          <w:bCs/>
          <w:lang w:val="en-IN" w:eastAsia="en-IN"/>
        </w:rPr>
        <w:t>£60,000 per worker</w:t>
      </w:r>
      <w:r>
        <w:rPr>
          <w:rFonts w:eastAsia="Times New Roman"/>
          <w:lang w:val="en-IN" w:eastAsia="en-IN"/>
        </w:rPr>
        <w:t>.</w:t>
      </w:r>
    </w:p>
    <w:p w14:paraId="4A893DCE" w14:textId="77777777" w:rsidR="003D1FE6" w:rsidRPr="003D1FE6" w:rsidRDefault="003D1FE6" w:rsidP="003D1FE6">
      <w:pPr>
        <w:spacing w:before="15" w:after="32"/>
        <w:rPr>
          <w:rFonts w:eastAsia="Times New Roman"/>
          <w:lang w:val="en-IN" w:eastAsia="en-IN"/>
        </w:rPr>
      </w:pPr>
      <w:r>
        <w:rPr>
          <w:rFonts w:eastAsia="Times New Roman"/>
          <w:b/>
          <w:bCs/>
          <w:lang w:val="en-IN" w:eastAsia="en-IN"/>
        </w:rPr>
        <w:t>The fix</w:t>
      </w:r>
    </w:p>
    <w:p w14:paraId="0E14D9A9" w14:textId="77777777" w:rsidR="003D1FE6" w:rsidRPr="003D1FE6" w:rsidRDefault="003D1FE6" w:rsidP="003D1FE6">
      <w:pPr>
        <w:spacing w:before="15" w:after="32"/>
        <w:rPr>
          <w:rFonts w:eastAsia="Times New Roman"/>
          <w:lang w:val="en-IN" w:eastAsia="en-IN"/>
        </w:rPr>
      </w:pPr>
      <w:r>
        <w:rPr>
          <w:rFonts w:eastAsia="Times New Roman"/>
          <w:lang w:val="en-IN" w:eastAsia="en-IN"/>
        </w:rPr>
        <w:t>Complete the correct check before employment starts and retain evidence for employment plus two years afterwards.</w:t>
      </w:r>
    </w:p>
    <w:p w14:paraId="50EEE95B" w14:textId="77777777" w:rsidR="003D1FE6" w:rsidRPr="003D1FE6" w:rsidRDefault="0061153E" w:rsidP="003D1FE6">
      <w:pPr>
        <w:rPr>
          <w:rFonts w:eastAsia="Times New Roman"/>
          <w:lang w:val="en-IN" w:eastAsia="en-IN"/>
        </w:rPr>
      </w:pPr>
      <w:r>
        <w:rPr>
          <w:rFonts w:eastAsia="Times New Roman"/>
          <w:noProof/>
          <w:lang w:val="en-IN" w:eastAsia="en-IN"/>
        </w:rPr>
        <w:pict w14:anchorId="280FF7BC">
          <v:rect id="_x0000_i1025" style="width:0;height:1.5pt" o:hralign="center" o:hrstd="t" o:hr="t" fillcolor="#a0a0a0" stroked="f"/>
        </w:pict>
      </w:r>
    </w:p>
    <w:p w14:paraId="787B3467" w14:textId="77777777" w:rsidR="003D1FE6" w:rsidRPr="003D1FE6" w:rsidRDefault="003D1FE6" w:rsidP="003D1FE6">
      <w:pPr>
        <w:spacing w:before="15" w:after="32"/>
        <w:outlineLvl w:val="2"/>
        <w:rPr>
          <w:rFonts w:eastAsia="Times New Roman"/>
          <w:b/>
          <w:bCs/>
          <w:lang w:val="en-IN" w:eastAsia="en-IN"/>
        </w:rPr>
      </w:pPr>
      <w:r>
        <w:rPr>
          <w:rFonts w:eastAsia="Times New Roman"/>
          <w:b/>
          <w:bCs/>
          <w:lang w:val="en-IN" w:eastAsia="en-IN"/>
        </w:rPr>
        <w:t>Tip 2 — Review your Right to Work process</w:t>
      </w:r>
    </w:p>
    <w:p w14:paraId="29964649" w14:textId="77777777" w:rsidR="003D1FE6" w:rsidRPr="003D1FE6" w:rsidRDefault="003D1FE6" w:rsidP="003D1FE6">
      <w:pPr>
        <w:spacing w:before="15" w:after="32"/>
        <w:rPr>
          <w:rFonts w:eastAsia="Times New Roman"/>
          <w:lang w:val="en-IN" w:eastAsia="en-IN"/>
        </w:rPr>
      </w:pPr>
      <w:r>
        <w:rPr>
          <w:rFonts w:eastAsia="Times New Roman"/>
          <w:b/>
          <w:bCs/>
          <w:lang w:val="en-IN" w:eastAsia="en-IN"/>
        </w:rPr>
        <w:t>The risk</w:t>
      </w:r>
    </w:p>
    <w:p w14:paraId="05132388" w14:textId="77777777" w:rsidR="003D1FE6" w:rsidRPr="003D1FE6" w:rsidRDefault="003D1FE6" w:rsidP="003D1FE6">
      <w:pPr>
        <w:spacing w:before="15" w:after="32"/>
        <w:rPr>
          <w:rFonts w:eastAsia="Times New Roman"/>
          <w:lang w:val="en-IN" w:eastAsia="en-IN"/>
        </w:rPr>
      </w:pPr>
      <w:r>
        <w:rPr>
          <w:rFonts w:eastAsia="Times New Roman"/>
          <w:lang w:val="en-IN" w:eastAsia="en-IN"/>
        </w:rPr>
        <w:t>Many employers still rely on outdated copies of passports or immigration documents.</w:t>
      </w:r>
    </w:p>
    <w:p w14:paraId="4A46D70C" w14:textId="77777777" w:rsidR="003D1FE6" w:rsidRPr="003D1FE6" w:rsidRDefault="003D1FE6" w:rsidP="003D1FE6">
      <w:pPr>
        <w:spacing w:before="15" w:after="32"/>
        <w:rPr>
          <w:rFonts w:eastAsia="Times New Roman"/>
          <w:lang w:val="en-IN" w:eastAsia="en-IN"/>
        </w:rPr>
      </w:pPr>
      <w:r>
        <w:rPr>
          <w:rFonts w:eastAsia="Times New Roman"/>
          <w:b/>
          <w:bCs/>
          <w:lang w:val="en-IN" w:eastAsia="en-IN"/>
        </w:rPr>
        <w:t>The fix</w:t>
      </w:r>
    </w:p>
    <w:p w14:paraId="1AB4BB82" w14:textId="77777777" w:rsidR="003D1FE6" w:rsidRPr="003D1FE6" w:rsidRDefault="003D1FE6" w:rsidP="003D1FE6">
      <w:pPr>
        <w:spacing w:before="15" w:after="32"/>
        <w:rPr>
          <w:rFonts w:eastAsia="Times New Roman"/>
          <w:lang w:val="en-IN" w:eastAsia="en-IN"/>
        </w:rPr>
      </w:pPr>
      <w:r>
        <w:rPr>
          <w:rFonts w:eastAsia="Times New Roman"/>
          <w:lang w:val="en-IN" w:eastAsia="en-IN"/>
        </w:rPr>
        <w:t>Ensure your recruitment team knows when to use:</w:t>
      </w:r>
    </w:p>
    <w:p w14:paraId="228A1D08" w14:textId="683228C1" w:rsidR="003D1FE6" w:rsidRPr="003D1FE6" w:rsidRDefault="003D1FE6" w:rsidP="003D1FE6">
      <w:pPr>
        <w:numPr>
          <w:ilvl w:val="0"/>
          <w:numId w:val="5"/>
        </w:numPr>
        <w:spacing w:before="15" w:after="32"/>
        <w:rPr>
          <w:rFonts w:eastAsia="Times New Roman"/>
          <w:lang w:val="en-IN" w:eastAsia="en-IN"/>
        </w:rPr>
      </w:pPr>
      <w:r>
        <w:rPr>
          <w:rFonts w:eastAsia="Times New Roman"/>
          <w:lang w:val="en-IN" w:eastAsia="en-IN"/>
        </w:rPr>
        <w:t xml:space="preserve">Manual document checks </w:t>
      </w:r>
    </w:p>
    <w:p w14:paraId="2788753A" w14:textId="77777777" w:rsidR="003D1FE6" w:rsidRPr="003D1FE6" w:rsidRDefault="003D1FE6" w:rsidP="003D1FE6">
      <w:pPr>
        <w:numPr>
          <w:ilvl w:val="0"/>
          <w:numId w:val="5"/>
        </w:numPr>
        <w:spacing w:before="15" w:after="32"/>
        <w:rPr>
          <w:rFonts w:eastAsia="Times New Roman"/>
          <w:lang w:val="en-IN" w:eastAsia="en-IN"/>
        </w:rPr>
      </w:pPr>
      <w:r>
        <w:rPr>
          <w:rFonts w:eastAsia="Times New Roman"/>
          <w:lang w:val="en-IN" w:eastAsia="en-IN"/>
        </w:rPr>
        <w:t xml:space="preserve">Home Office online checks </w:t>
      </w:r>
    </w:p>
    <w:p w14:paraId="39060A30" w14:textId="1B58CFFA" w:rsidR="003D1FE6" w:rsidRPr="003D1FE6" w:rsidRDefault="003D1FE6" w:rsidP="003D1FE6">
      <w:pPr>
        <w:numPr>
          <w:ilvl w:val="0"/>
          <w:numId w:val="5"/>
        </w:numPr>
        <w:spacing w:before="15" w:after="32"/>
        <w:rPr>
          <w:rFonts w:eastAsia="Times New Roman"/>
          <w:lang w:val="en-IN" w:eastAsia="en-IN"/>
        </w:rPr>
      </w:pPr>
      <w:r>
        <w:rPr>
          <w:rFonts w:eastAsia="Times New Roman"/>
          <w:lang w:val="en-IN" w:eastAsia="en-IN"/>
        </w:rPr>
        <w:t xml:space="preserve">Employer checking Service </w:t>
      </w:r>
    </w:p>
    <w:p w14:paraId="37C19E4B" w14:textId="5F7C0DA9" w:rsidR="003D1FE6" w:rsidRPr="003D1FE6" w:rsidRDefault="003D1FE6" w:rsidP="003D1FE6">
      <w:pPr>
        <w:numPr>
          <w:ilvl w:val="0"/>
          <w:numId w:val="5"/>
        </w:numPr>
        <w:spacing w:before="15" w:after="32"/>
        <w:rPr>
          <w:rFonts w:eastAsia="Times New Roman"/>
          <w:lang w:val="en-IN" w:eastAsia="en-IN"/>
        </w:rPr>
      </w:pPr>
      <w:r>
        <w:rPr>
          <w:rFonts w:eastAsia="Times New Roman"/>
          <w:lang w:val="en-IN" w:eastAsia="en-IN"/>
        </w:rPr>
        <w:t xml:space="preserve">Approved Digital Verification Service Providers (DVSPs) </w:t>
      </w:r>
    </w:p>
    <w:p w14:paraId="19E26855" w14:textId="7897CC4E" w:rsidR="003D1FE6" w:rsidRPr="003D1FE6" w:rsidRDefault="003D1FE6" w:rsidP="003D1FE6">
      <w:pPr>
        <w:rPr>
          <w:rFonts w:eastAsia="Times New Roman"/>
          <w:lang w:val="en-IN" w:eastAsia="en-IN"/>
        </w:rPr>
      </w:pPr>
    </w:p>
    <w:p w14:paraId="1DC94A7D" w14:textId="77777777" w:rsidR="003D1FE6" w:rsidRPr="003D1FE6" w:rsidRDefault="003D1FE6" w:rsidP="003D1FE6">
      <w:pPr>
        <w:spacing w:before="15" w:after="32"/>
        <w:outlineLvl w:val="2"/>
        <w:rPr>
          <w:rFonts w:eastAsia="Times New Roman"/>
          <w:b/>
          <w:bCs/>
          <w:lang w:val="en-IN" w:eastAsia="en-IN"/>
        </w:rPr>
      </w:pPr>
      <w:r>
        <w:rPr>
          <w:rFonts w:eastAsia="Times New Roman"/>
          <w:b/>
          <w:bCs/>
          <w:lang w:val="en-IN" w:eastAsia="en-IN"/>
        </w:rPr>
        <w:t>Tip 3 — Diary follow-up checks</w:t>
      </w:r>
    </w:p>
    <w:p w14:paraId="4E3B6D6F" w14:textId="77777777" w:rsidR="003D1FE6" w:rsidRPr="003D1FE6" w:rsidRDefault="003D1FE6" w:rsidP="003D1FE6">
      <w:pPr>
        <w:spacing w:before="15" w:after="32"/>
        <w:rPr>
          <w:rFonts w:eastAsia="Times New Roman"/>
          <w:lang w:val="en-IN" w:eastAsia="en-IN"/>
        </w:rPr>
      </w:pPr>
      <w:r>
        <w:rPr>
          <w:rFonts w:eastAsia="Times New Roman"/>
          <w:b/>
          <w:bCs/>
          <w:lang w:val="en-IN" w:eastAsia="en-IN"/>
        </w:rPr>
        <w:t>The risk</w:t>
      </w:r>
    </w:p>
    <w:p w14:paraId="58E214DD" w14:textId="77777777" w:rsidR="003D1FE6" w:rsidRPr="003D1FE6" w:rsidRDefault="003D1FE6" w:rsidP="003D1FE6">
      <w:pPr>
        <w:spacing w:before="15" w:after="32"/>
        <w:rPr>
          <w:rFonts w:eastAsia="Times New Roman"/>
          <w:lang w:val="en-IN" w:eastAsia="en-IN"/>
        </w:rPr>
      </w:pPr>
      <w:r>
        <w:rPr>
          <w:rFonts w:eastAsia="Times New Roman"/>
          <w:lang w:val="en-IN" w:eastAsia="en-IN"/>
        </w:rPr>
        <w:t>Workers with time-limited permission require repeat checks. Missing the expiry date removes your statutory excuse.</w:t>
      </w:r>
    </w:p>
    <w:p w14:paraId="74473E72" w14:textId="77777777" w:rsidR="003D1FE6" w:rsidRPr="003D1FE6" w:rsidRDefault="003D1FE6" w:rsidP="003D1FE6">
      <w:pPr>
        <w:spacing w:before="15" w:after="32"/>
        <w:rPr>
          <w:rFonts w:eastAsia="Times New Roman"/>
          <w:lang w:val="en-IN" w:eastAsia="en-IN"/>
        </w:rPr>
      </w:pPr>
      <w:r>
        <w:rPr>
          <w:rFonts w:eastAsia="Times New Roman"/>
          <w:b/>
          <w:bCs/>
          <w:lang w:val="en-IN" w:eastAsia="en-IN"/>
        </w:rPr>
        <w:t>The fix</w:t>
      </w:r>
    </w:p>
    <w:p w14:paraId="6C338549" w14:textId="77777777" w:rsidR="003D1FE6" w:rsidRPr="003D1FE6" w:rsidRDefault="003D1FE6" w:rsidP="003D1FE6">
      <w:pPr>
        <w:spacing w:before="15" w:after="32"/>
        <w:rPr>
          <w:rFonts w:eastAsia="Times New Roman"/>
          <w:lang w:val="en-IN" w:eastAsia="en-IN"/>
        </w:rPr>
      </w:pPr>
      <w:r>
        <w:rPr>
          <w:rFonts w:eastAsia="Times New Roman"/>
          <w:lang w:val="en-IN" w:eastAsia="en-IN"/>
        </w:rPr>
        <w:t>Maintain an automated diary system and complete follow-up checks before permission expires.</w:t>
      </w:r>
    </w:p>
    <w:p w14:paraId="372AFE75" w14:textId="77777777" w:rsidR="003D1FE6" w:rsidRPr="003D1FE6" w:rsidRDefault="003D1FE6" w:rsidP="003D1FE6">
      <w:pPr>
        <w:spacing w:before="15" w:after="32"/>
        <w:outlineLvl w:val="2"/>
        <w:rPr>
          <w:rFonts w:eastAsia="Times New Roman"/>
          <w:b/>
          <w:bCs/>
          <w:lang w:val="en-IN" w:eastAsia="en-IN"/>
        </w:rPr>
      </w:pPr>
      <w:r>
        <w:rPr>
          <w:rFonts w:eastAsia="Times New Roman"/>
          <w:b/>
          <w:bCs/>
          <w:lang w:val="en-IN" w:eastAsia="en-IN"/>
        </w:rPr>
        <w:t>Tip 4 — Get your compliance reviewed</w:t>
      </w:r>
    </w:p>
    <w:p w14:paraId="0770A307" w14:textId="77777777" w:rsidR="003D1FE6" w:rsidRPr="003D1FE6" w:rsidRDefault="003D1FE6" w:rsidP="003D1FE6">
      <w:pPr>
        <w:spacing w:before="15" w:after="32"/>
        <w:rPr>
          <w:rFonts w:eastAsia="Times New Roman"/>
          <w:lang w:val="en-IN" w:eastAsia="en-IN"/>
        </w:rPr>
      </w:pPr>
      <w:r>
        <w:rPr>
          <w:rFonts w:eastAsia="Times New Roman"/>
          <w:b/>
          <w:bCs/>
          <w:lang w:val="en-IN" w:eastAsia="en-IN"/>
        </w:rPr>
        <w:t>The risk</w:t>
      </w:r>
    </w:p>
    <w:p w14:paraId="072AF2D4" w14:textId="77777777" w:rsidR="003D1FE6" w:rsidRPr="003D1FE6" w:rsidRDefault="003D1FE6" w:rsidP="003D1FE6">
      <w:pPr>
        <w:spacing w:before="15" w:after="32"/>
        <w:rPr>
          <w:rFonts w:eastAsia="Times New Roman"/>
          <w:lang w:val="en-IN" w:eastAsia="en-IN"/>
        </w:rPr>
      </w:pPr>
      <w:r>
        <w:rPr>
          <w:rFonts w:eastAsia="Times New Roman"/>
          <w:lang w:val="en-IN" w:eastAsia="en-IN"/>
        </w:rPr>
        <w:t>Small record-keeping mistakes can become very expensive during a Home Office inspection.</w:t>
      </w:r>
    </w:p>
    <w:p w14:paraId="15B253BC" w14:textId="77777777" w:rsidR="003D1FE6" w:rsidRPr="003D1FE6" w:rsidRDefault="003D1FE6" w:rsidP="003D1FE6">
      <w:pPr>
        <w:spacing w:before="15" w:after="32"/>
        <w:rPr>
          <w:rFonts w:eastAsia="Times New Roman"/>
          <w:lang w:val="en-IN" w:eastAsia="en-IN"/>
        </w:rPr>
      </w:pPr>
      <w:r>
        <w:rPr>
          <w:rFonts w:eastAsia="Times New Roman"/>
          <w:b/>
          <w:bCs/>
          <w:lang w:val="en-IN" w:eastAsia="en-IN"/>
        </w:rPr>
        <w:lastRenderedPageBreak/>
        <w:t>The fix</w:t>
      </w:r>
    </w:p>
    <w:p w14:paraId="754306EB" w14:textId="28867A8E" w:rsidR="003D1FE6" w:rsidRPr="003D1FE6" w:rsidRDefault="003D1FE6" w:rsidP="003D1FE6">
      <w:pPr>
        <w:spacing w:before="15" w:after="32"/>
        <w:rPr>
          <w:rFonts w:eastAsia="Times New Roman"/>
          <w:lang w:val="en-IN" w:eastAsia="en-IN"/>
        </w:rPr>
      </w:pPr>
      <w:r>
        <w:rPr>
          <w:rFonts w:eastAsia="Times New Roman"/>
          <w:lang w:val="en-IN" w:eastAsia="en-IN"/>
        </w:rPr>
        <w:t>Book a compliance review with a compliance specialist and ensure your recruitment, HR and sponsor licence processes work together.</w:t>
      </w:r>
    </w:p>
    <w:p w14:paraId="2C3108CF" w14:textId="77777777" w:rsidR="00136F7C" w:rsidRPr="003D1FE6" w:rsidRDefault="00136F7C" w:rsidP="00136F7C">
      <w:pPr>
        <w:spacing w:after="32"/>
      </w:pPr>
    </w:p>
    <w:p w14:paraId="504AD1E1" w14:textId="77777777" w:rsidR="00136F7C" w:rsidRPr="003D1FE6" w:rsidRDefault="00136F7C" w:rsidP="0073654C">
      <w:pPr>
        <w:spacing w:after="32"/>
        <w:rPr>
          <w:rFonts w:eastAsia="Times New Roman"/>
          <w:color w:val="000000" w:themeColor="text1"/>
          <w:lang w:eastAsia="en-IN"/>
        </w:rPr>
      </w:pPr>
    </w:p>
    <w:p w14:paraId="2EAED4D5" w14:textId="224F3E69" w:rsidR="0067436D" w:rsidRDefault="0067436D" w:rsidP="0073654C">
      <w:pPr>
        <w:spacing w:after="32"/>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9240"/>
      </w:tblGrid>
      <w:tr w:rsidR="0067436D" w14:paraId="115CC45A" w14:textId="77777777">
        <w:tc>
          <w:tcPr>
            <w:tcW w:w="120" w:type="dxa"/>
            <w:tcBorders>
              <w:top w:val="none" w:sz="0" w:space="0" w:color="FFFFFF"/>
              <w:left w:val="none" w:sz="0" w:space="0" w:color="FFFFFF"/>
              <w:bottom w:val="none" w:sz="0" w:space="0" w:color="FFFFFF"/>
              <w:right w:val="none" w:sz="0" w:space="0" w:color="FFFFFF"/>
            </w:tcBorders>
            <w:shd w:val="clear" w:color="auto" w:fill="C9892F"/>
            <w:tcMar>
              <w:top w:w="60" w:type="dxa"/>
              <w:left w:w="0" w:type="dxa"/>
              <w:bottom w:w="60" w:type="dxa"/>
              <w:right w:w="0" w:type="dxa"/>
            </w:tcMar>
          </w:tcPr>
          <w:p w14:paraId="0427AF99" w14:textId="77777777" w:rsidR="0067436D" w:rsidRDefault="0067436D"/>
        </w:tc>
        <w:tc>
          <w:tcPr>
            <w:tcW w:w="9240" w:type="dxa"/>
            <w:tcBorders>
              <w:top w:val="none" w:sz="0" w:space="0" w:color="FFFFFF"/>
              <w:left w:val="none" w:sz="0" w:space="0" w:color="FFFFFF"/>
              <w:bottom w:val="none" w:sz="0" w:space="0" w:color="FFFFFF"/>
              <w:right w:val="none" w:sz="0" w:space="0" w:color="FFFFFF"/>
            </w:tcBorders>
            <w:tcMar>
              <w:top w:w="80" w:type="dxa"/>
              <w:left w:w="200" w:type="dxa"/>
              <w:bottom w:w="60" w:type="dxa"/>
              <w:right w:w="100" w:type="dxa"/>
            </w:tcMar>
          </w:tcPr>
          <w:p w14:paraId="01882740" w14:textId="77777777" w:rsidR="0067436D" w:rsidRDefault="00D62E2D">
            <w:pPr>
              <w:spacing w:after="16"/>
            </w:pPr>
            <w:r>
              <w:rPr>
                <w:b/>
                <w:bCs/>
                <w:color w:val="C9892F"/>
                <w:spacing w:val="60"/>
                <w:sz w:val="18"/>
                <w:szCs w:val="18"/>
              </w:rPr>
              <w:t>SECTION 3</w:t>
            </w:r>
          </w:p>
          <w:p w14:paraId="5F566B3C" w14:textId="77777777" w:rsidR="0067436D" w:rsidRDefault="00D62E2D">
            <w:r>
              <w:rPr>
                <w:b/>
                <w:bCs/>
                <w:color w:val="744A98"/>
                <w:sz w:val="32"/>
                <w:szCs w:val="32"/>
              </w:rPr>
              <w:t>How AC Solutions can support you</w:t>
            </w:r>
          </w:p>
        </w:tc>
      </w:tr>
    </w:tbl>
    <w:p w14:paraId="2EE570AF" w14:textId="77777777" w:rsidR="0067436D" w:rsidRDefault="0067436D">
      <w:pPr>
        <w:spacing w:after="47"/>
      </w:pPr>
    </w:p>
    <w:p w14:paraId="3320C80F" w14:textId="77777777" w:rsidR="0067436D" w:rsidRDefault="00D62E2D">
      <w:r>
        <w:rPr>
          <w:i/>
          <w:iCs/>
          <w:color w:val="6B7280"/>
        </w:rPr>
        <w:t>A reminder of the services we offer — and how they map to the challenges in this issue.</w:t>
      </w:r>
    </w:p>
    <w:p w14:paraId="0BA7C32A" w14:textId="77777777" w:rsidR="0067436D" w:rsidRDefault="0067436D">
      <w:pPr>
        <w:spacing w:after="63"/>
      </w:pP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1"/>
        <w:gridCol w:w="3122"/>
        <w:gridCol w:w="3122"/>
      </w:tblGrid>
      <w:tr w:rsidR="0067436D" w14:paraId="5EDE8157" w14:textId="77777777" w:rsidTr="003B5221">
        <w:tc>
          <w:tcPr>
            <w:tcW w:w="3120" w:type="dxa"/>
            <w:tcBorders>
              <w:top w:val="none" w:sz="0" w:space="0" w:color="FFFFFF"/>
              <w:left w:val="none" w:sz="0" w:space="0" w:color="FFFFFF"/>
              <w:bottom w:val="none" w:sz="0" w:space="0" w:color="FFFFFF"/>
              <w:right w:val="none" w:sz="0" w:space="0" w:color="FFFFFF"/>
            </w:tcBorders>
            <w:shd w:val="clear" w:color="auto" w:fill="F1ECF4"/>
            <w:tcMar>
              <w:top w:w="200" w:type="dxa"/>
              <w:left w:w="200" w:type="dxa"/>
              <w:bottom w:w="200" w:type="dxa"/>
              <w:right w:w="200" w:type="dxa"/>
            </w:tcMar>
          </w:tcPr>
          <w:p w14:paraId="3DF6E252" w14:textId="77777777" w:rsidR="0067436D" w:rsidRDefault="00D62E2D">
            <w:pPr>
              <w:spacing w:after="24"/>
            </w:pPr>
            <w:r>
              <w:rPr>
                <w:b/>
                <w:bCs/>
                <w:color w:val="C9892F"/>
                <w:sz w:val="36"/>
                <w:szCs w:val="36"/>
              </w:rPr>
              <w:t>01</w:t>
            </w:r>
          </w:p>
          <w:p w14:paraId="4355493E" w14:textId="77777777" w:rsidR="0067436D" w:rsidRDefault="00D62E2D">
            <w:pPr>
              <w:spacing w:after="32"/>
            </w:pPr>
            <w:r>
              <w:rPr>
                <w:b/>
                <w:bCs/>
                <w:color w:val="472D5E"/>
              </w:rPr>
              <w:t>International recruitment</w:t>
            </w:r>
          </w:p>
          <w:p w14:paraId="39E7A71E" w14:textId="6DEAC911" w:rsidR="0067436D" w:rsidRDefault="0073654C">
            <w:r>
              <w:rPr>
                <w:sz w:val="20"/>
                <w:szCs w:val="20"/>
              </w:rPr>
              <w:t>Understanding your requirements, assisting your sponsored workers and providing support and training</w:t>
            </w:r>
          </w:p>
        </w:tc>
        <w:tc>
          <w:tcPr>
            <w:tcW w:w="3120" w:type="dxa"/>
            <w:tcBorders>
              <w:top w:val="none" w:sz="0" w:space="0" w:color="FFFFFF"/>
              <w:left w:val="none" w:sz="0" w:space="0" w:color="FFFFFF"/>
              <w:bottom w:val="none" w:sz="0" w:space="0" w:color="FFFFFF"/>
              <w:right w:val="none" w:sz="0" w:space="0" w:color="FFFFFF"/>
            </w:tcBorders>
            <w:shd w:val="clear" w:color="auto" w:fill="F1ECF4"/>
            <w:tcMar>
              <w:top w:w="200" w:type="dxa"/>
              <w:left w:w="200" w:type="dxa"/>
              <w:bottom w:w="200" w:type="dxa"/>
              <w:right w:w="200" w:type="dxa"/>
            </w:tcMar>
          </w:tcPr>
          <w:p w14:paraId="0702EA57" w14:textId="77777777" w:rsidR="0067436D" w:rsidRDefault="00D62E2D">
            <w:pPr>
              <w:spacing w:after="24"/>
            </w:pPr>
            <w:r>
              <w:rPr>
                <w:b/>
                <w:bCs/>
                <w:color w:val="C9892F"/>
                <w:sz w:val="36"/>
                <w:szCs w:val="36"/>
              </w:rPr>
              <w:t>02</w:t>
            </w:r>
          </w:p>
          <w:p w14:paraId="15E4C72D" w14:textId="6E43A626" w:rsidR="0067436D" w:rsidRDefault="0073654C">
            <w:pPr>
              <w:spacing w:after="32"/>
            </w:pPr>
            <w:r>
              <w:rPr>
                <w:b/>
                <w:bCs/>
                <w:color w:val="472D5E"/>
              </w:rPr>
              <w:t>Business health checks</w:t>
            </w:r>
          </w:p>
          <w:p w14:paraId="04B9CC56" w14:textId="39878389" w:rsidR="0067436D" w:rsidRDefault="0073654C">
            <w:r>
              <w:rPr>
                <w:sz w:val="20"/>
                <w:szCs w:val="20"/>
              </w:rPr>
              <w:t>Turn your underperforming service into an excellent investment with our business health checks.  </w:t>
            </w:r>
          </w:p>
        </w:tc>
        <w:tc>
          <w:tcPr>
            <w:tcW w:w="3120" w:type="dxa"/>
            <w:tcBorders>
              <w:top w:val="none" w:sz="0" w:space="0" w:color="FFFFFF"/>
              <w:left w:val="none" w:sz="0" w:space="0" w:color="FFFFFF"/>
              <w:bottom w:val="none" w:sz="0" w:space="0" w:color="FFFFFF"/>
              <w:right w:val="none" w:sz="0" w:space="0" w:color="FFFFFF"/>
            </w:tcBorders>
            <w:shd w:val="clear" w:color="auto" w:fill="F1ECF4"/>
            <w:tcMar>
              <w:top w:w="200" w:type="dxa"/>
              <w:left w:w="200" w:type="dxa"/>
              <w:bottom w:w="200" w:type="dxa"/>
              <w:right w:w="200" w:type="dxa"/>
            </w:tcMar>
          </w:tcPr>
          <w:p w14:paraId="66E0C18D" w14:textId="77777777" w:rsidR="0067436D" w:rsidRDefault="00D62E2D">
            <w:pPr>
              <w:spacing w:after="24"/>
            </w:pPr>
            <w:r>
              <w:rPr>
                <w:b/>
                <w:bCs/>
                <w:color w:val="C9892F"/>
                <w:sz w:val="36"/>
                <w:szCs w:val="36"/>
              </w:rPr>
              <w:t>03</w:t>
            </w:r>
          </w:p>
          <w:p w14:paraId="576E34E8" w14:textId="77777777" w:rsidR="0067436D" w:rsidRDefault="00D62E2D">
            <w:pPr>
              <w:spacing w:after="32"/>
            </w:pPr>
            <w:r>
              <w:rPr>
                <w:b/>
                <w:bCs/>
                <w:color w:val="472D5E"/>
              </w:rPr>
              <w:t>Workforce strategy</w:t>
            </w:r>
          </w:p>
          <w:p w14:paraId="39F09DB2" w14:textId="184BBDB8" w:rsidR="0067436D" w:rsidRDefault="0073654C">
            <w:r>
              <w:rPr>
                <w:sz w:val="20"/>
                <w:szCs w:val="20"/>
              </w:rPr>
              <w:t xml:space="preserve">Leadership coaching, training and mentoring and much more. </w:t>
            </w:r>
          </w:p>
        </w:tc>
      </w:tr>
      <w:tr w:rsidR="0067436D" w14:paraId="3FDAFEA7" w14:textId="77777777" w:rsidTr="003B5221">
        <w:tc>
          <w:tcPr>
            <w:tcW w:w="9360" w:type="dxa"/>
            <w:gridSpan w:val="3"/>
            <w:tcBorders>
              <w:top w:val="single" w:sz="4" w:space="0" w:color="D1D5DB"/>
              <w:left w:val="single" w:sz="4" w:space="0" w:color="D1D5DB"/>
              <w:bottom w:val="single" w:sz="4" w:space="0" w:color="D1D5DB"/>
              <w:right w:val="single" w:sz="4" w:space="0" w:color="D1D5DB"/>
            </w:tcBorders>
            <w:shd w:val="clear" w:color="auto" w:fill="F1ECF4"/>
            <w:tcMar>
              <w:top w:w="200" w:type="dxa"/>
              <w:left w:w="240" w:type="dxa"/>
              <w:bottom w:w="200" w:type="dxa"/>
              <w:right w:w="240" w:type="dxa"/>
            </w:tcMar>
          </w:tcPr>
          <w:p w14:paraId="4EC848D3" w14:textId="77777777" w:rsidR="0067436D" w:rsidRDefault="00D62E2D">
            <w:pPr>
              <w:spacing w:after="32"/>
            </w:pPr>
            <w:r>
              <w:rPr>
                <w:b/>
                <w:bCs/>
                <w:color w:val="C9892F"/>
                <w:spacing w:val="60"/>
                <w:sz w:val="18"/>
                <w:szCs w:val="18"/>
              </w:rPr>
              <w:t>NEED A HAND THIS MONTH?</w:t>
            </w:r>
          </w:p>
          <w:p w14:paraId="749E9ACB" w14:textId="2CB9F205" w:rsidR="0067436D" w:rsidRDefault="00D62E2D">
            <w:r>
              <w:t>Book a free 30-minute discovery call with one of our advisors. We'll review your current pressures and give you a focused, no-obligation plan.</w:t>
            </w:r>
          </w:p>
          <w:p w14:paraId="03A55D47" w14:textId="77777777" w:rsidR="0067436D" w:rsidRDefault="0067436D">
            <w:pPr>
              <w:spacing w:after="32"/>
            </w:pPr>
          </w:p>
          <w:p w14:paraId="79F8261C" w14:textId="13B9D1C7" w:rsidR="0067436D" w:rsidRDefault="00D62E2D">
            <w:r>
              <w:t xml:space="preserve">Email </w:t>
            </w:r>
            <w:r>
              <w:rPr>
                <w:b/>
                <w:bCs/>
              </w:rPr>
              <w:t>jasmine</w:t>
            </w:r>
            <w:r>
              <w:rPr>
                <w:b/>
                <w:bCs/>
                <w:color w:val="472D5E"/>
              </w:rPr>
              <w:t>@acsolutions.org.uk</w:t>
            </w:r>
            <w:r>
              <w:t xml:space="preserve">  •  Call </w:t>
            </w:r>
            <w:r>
              <w:rPr>
                <w:b/>
                <w:bCs/>
                <w:color w:val="472D5E"/>
              </w:rPr>
              <w:t>[+44 (0)77 2343 5400</w:t>
            </w:r>
            <w:r>
              <w:t xml:space="preserve">  •  Visit </w:t>
            </w:r>
            <w:r>
              <w:rPr>
                <w:b/>
                <w:bCs/>
                <w:color w:val="472D5E"/>
              </w:rPr>
              <w:t>www.acsolutions.org.uk</w:t>
            </w:r>
          </w:p>
        </w:tc>
      </w:tr>
    </w:tbl>
    <w:p w14:paraId="4F681785" w14:textId="77777777" w:rsidR="0067436D" w:rsidRDefault="0067436D">
      <w:pPr>
        <w:pBdr>
          <w:bottom w:val="single" w:sz="8" w:space="1" w:color="744A98"/>
        </w:pBdr>
        <w:spacing w:before="24" w:after="47"/>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9240"/>
      </w:tblGrid>
      <w:tr w:rsidR="0067436D" w14:paraId="6F71CB07" w14:textId="77777777">
        <w:tc>
          <w:tcPr>
            <w:tcW w:w="120" w:type="dxa"/>
            <w:tcBorders>
              <w:top w:val="none" w:sz="0" w:space="0" w:color="FFFFFF"/>
              <w:left w:val="none" w:sz="0" w:space="0" w:color="FFFFFF"/>
              <w:bottom w:val="none" w:sz="0" w:space="0" w:color="FFFFFF"/>
              <w:right w:val="none" w:sz="0" w:space="0" w:color="FFFFFF"/>
            </w:tcBorders>
            <w:shd w:val="clear" w:color="auto" w:fill="C9892F"/>
            <w:tcMar>
              <w:top w:w="60" w:type="dxa"/>
              <w:left w:w="0" w:type="dxa"/>
              <w:bottom w:w="60" w:type="dxa"/>
              <w:right w:w="0" w:type="dxa"/>
            </w:tcMar>
          </w:tcPr>
          <w:p w14:paraId="675B34C3" w14:textId="77777777" w:rsidR="0067436D" w:rsidRDefault="0067436D"/>
        </w:tc>
        <w:tc>
          <w:tcPr>
            <w:tcW w:w="9240" w:type="dxa"/>
            <w:tcBorders>
              <w:top w:val="none" w:sz="0" w:space="0" w:color="FFFFFF"/>
              <w:left w:val="none" w:sz="0" w:space="0" w:color="FFFFFF"/>
              <w:bottom w:val="none" w:sz="0" w:space="0" w:color="FFFFFF"/>
              <w:right w:val="none" w:sz="0" w:space="0" w:color="FFFFFF"/>
            </w:tcBorders>
            <w:tcMar>
              <w:top w:w="80" w:type="dxa"/>
              <w:left w:w="200" w:type="dxa"/>
              <w:bottom w:w="60" w:type="dxa"/>
              <w:right w:w="100" w:type="dxa"/>
            </w:tcMar>
          </w:tcPr>
          <w:p w14:paraId="310408D0" w14:textId="77777777" w:rsidR="0067436D" w:rsidRDefault="00D62E2D">
            <w:pPr>
              <w:spacing w:after="16"/>
            </w:pPr>
            <w:r>
              <w:rPr>
                <w:b/>
                <w:bCs/>
                <w:color w:val="C9892F"/>
                <w:spacing w:val="60"/>
                <w:sz w:val="18"/>
                <w:szCs w:val="18"/>
              </w:rPr>
              <w:t>SPOTLIGHT</w:t>
            </w:r>
          </w:p>
          <w:p w14:paraId="02D2E397" w14:textId="4DA9ED86" w:rsidR="0067436D" w:rsidRPr="003D1FE6" w:rsidRDefault="003D1FE6">
            <w:pPr>
              <w:rPr>
                <w:sz w:val="32"/>
                <w:szCs w:val="32"/>
              </w:rPr>
            </w:pPr>
            <w:r>
              <w:rPr>
                <w:rFonts w:eastAsia="Times New Roman"/>
                <w:b/>
                <w:bCs/>
                <w:color w:val="7030A0"/>
                <w:sz w:val="32"/>
                <w:szCs w:val="32"/>
                <w:lang w:val="en-IN" w:eastAsia="en-IN"/>
              </w:rPr>
              <w:t>Right to Work Checks – Your Best Defence Against Civil Penalties</w:t>
            </w:r>
          </w:p>
        </w:tc>
      </w:tr>
    </w:tbl>
    <w:p w14:paraId="41C6677E" w14:textId="77777777" w:rsidR="003D1FE6" w:rsidRPr="003D1FE6" w:rsidRDefault="003D1FE6" w:rsidP="003D1FE6">
      <w:pPr>
        <w:spacing w:before="15" w:after="32"/>
        <w:rPr>
          <w:rFonts w:eastAsia="Times New Roman"/>
          <w:lang w:val="en-IN" w:eastAsia="en-IN"/>
        </w:rPr>
      </w:pPr>
      <w:r>
        <w:rPr>
          <w:rFonts w:eastAsia="Times New Roman"/>
          <w:lang w:val="en-IN" w:eastAsia="en-IN"/>
        </w:rPr>
        <w:t>The Home Office has made one thing very clear:</w:t>
      </w:r>
    </w:p>
    <w:p w14:paraId="737D1A8C" w14:textId="77777777" w:rsidR="003D1FE6" w:rsidRPr="003D1FE6" w:rsidRDefault="003D1FE6" w:rsidP="003D1FE6">
      <w:pPr>
        <w:spacing w:before="15" w:after="32"/>
        <w:rPr>
          <w:rFonts w:eastAsia="Times New Roman"/>
          <w:lang w:val="en-IN" w:eastAsia="en-IN"/>
        </w:rPr>
      </w:pPr>
      <w:r>
        <w:rPr>
          <w:rFonts w:eastAsia="Times New Roman"/>
          <w:b/>
          <w:bCs/>
          <w:lang w:val="en-IN" w:eastAsia="en-IN"/>
        </w:rPr>
        <w:t>If you cannot prove you completed the correct Right to Work check before employment started, you may not have a statutory excuse.</w:t>
      </w:r>
    </w:p>
    <w:p w14:paraId="21705B88" w14:textId="77777777" w:rsidR="003D1FE6" w:rsidRPr="003D1FE6" w:rsidRDefault="003D1FE6" w:rsidP="003D1FE6">
      <w:pPr>
        <w:spacing w:before="15" w:after="32"/>
        <w:rPr>
          <w:rFonts w:eastAsia="Times New Roman"/>
          <w:lang w:val="en-IN" w:eastAsia="en-IN"/>
        </w:rPr>
      </w:pPr>
      <w:r>
        <w:rPr>
          <w:rFonts w:eastAsia="Times New Roman"/>
          <w:lang w:val="en-IN" w:eastAsia="en-IN"/>
        </w:rPr>
        <w:t>That means even if the worker genuinely believed they had permission to work, your organisation could still receive a substantial civil penalty.</w:t>
      </w:r>
    </w:p>
    <w:p w14:paraId="6E742ED2" w14:textId="77777777" w:rsidR="003D1FE6" w:rsidRPr="003B5221" w:rsidRDefault="003D1FE6" w:rsidP="003D1FE6">
      <w:pPr>
        <w:spacing w:before="15" w:after="32"/>
        <w:outlineLvl w:val="2"/>
        <w:rPr>
          <w:rFonts w:eastAsia="Times New Roman"/>
          <w:b/>
          <w:bCs/>
          <w:lang w:val="en-IN" w:eastAsia="en-IN"/>
        </w:rPr>
      </w:pPr>
      <w:r>
        <w:rPr>
          <w:rFonts w:eastAsia="Times New Roman"/>
          <w:b/>
          <w:bCs/>
          <w:lang w:val="en-IN" w:eastAsia="en-IN"/>
        </w:rPr>
        <w:t>Employers should ensure they:</w:t>
      </w:r>
    </w:p>
    <w:p w14:paraId="27EB334C" w14:textId="49D03F78" w:rsidR="003B5221" w:rsidRPr="003B5221" w:rsidRDefault="003B5221" w:rsidP="003B5221">
      <w:pPr>
        <w:pStyle w:val="isselectedend"/>
        <w:rPr>
          <w:rFonts w:ascii="Calibri" w:hAnsi="Calibri" w:cs="Calibri"/>
          <w:sz w:val="22"/>
          <w:szCs w:val="22"/>
        </w:rPr>
      </w:pPr>
      <w:r>
        <w:rPr>
          <w:rFonts w:ascii="Segoe UI Symbol" w:hAnsi="Segoe UI Symbol" w:cs="Segoe UI Symbol"/>
          <w:sz w:val="22"/>
          <w:szCs w:val="22"/>
        </w:rPr>
        <w:t>✔</w:t>
      </w:r>
      <w:r>
        <w:rPr>
          <w:rFonts w:ascii="Calibri" w:hAnsi="Calibri" w:cs="Calibri"/>
          <w:sz w:val="22"/>
          <w:szCs w:val="22"/>
        </w:rPr>
        <w:t xml:space="preserve"> Complete the correct Right to Work check before employment begins.</w:t>
      </w:r>
      <w:r>
        <w:rPr>
          <w:rFonts w:ascii="Calibri" w:hAnsi="Calibri" w:cs="Calibri"/>
          <w:sz w:val="22"/>
          <w:szCs w:val="22"/>
        </w:rPr>
        <w:br/>
      </w:r>
      <w:r>
        <w:rPr>
          <w:rFonts w:ascii="Segoe UI Symbol" w:hAnsi="Segoe UI Symbol" w:cs="Segoe UI Symbol"/>
          <w:sz w:val="22"/>
          <w:szCs w:val="22"/>
        </w:rPr>
        <w:t>✔</w:t>
      </w:r>
      <w:r>
        <w:rPr>
          <w:rFonts w:ascii="Calibri" w:hAnsi="Calibri" w:cs="Calibri"/>
          <w:sz w:val="22"/>
          <w:szCs w:val="22"/>
        </w:rPr>
        <w:t xml:space="preserve"> Use the Home Office online checking service where an eVisa applies.</w:t>
      </w:r>
      <w:r>
        <w:rPr>
          <w:rFonts w:ascii="Calibri" w:hAnsi="Calibri" w:cs="Calibri"/>
          <w:sz w:val="22"/>
          <w:szCs w:val="22"/>
        </w:rPr>
        <w:br/>
      </w:r>
      <w:r>
        <w:rPr>
          <w:rFonts w:ascii="Segoe UI Symbol" w:hAnsi="Segoe UI Symbol" w:cs="Segoe UI Symbol"/>
          <w:sz w:val="22"/>
          <w:szCs w:val="22"/>
        </w:rPr>
        <w:t>✔</w:t>
      </w:r>
      <w:r>
        <w:rPr>
          <w:rFonts w:ascii="Calibri" w:hAnsi="Calibri" w:cs="Calibri"/>
          <w:sz w:val="22"/>
          <w:szCs w:val="22"/>
        </w:rPr>
        <w:t xml:space="preserve"> Verify that the individual presenting the documents matches the documents or online profile.</w:t>
      </w:r>
      <w:r>
        <w:rPr>
          <w:rFonts w:ascii="Calibri" w:hAnsi="Calibri" w:cs="Calibri"/>
          <w:sz w:val="22"/>
          <w:szCs w:val="22"/>
        </w:rPr>
        <w:br/>
      </w:r>
      <w:r>
        <w:rPr>
          <w:rFonts w:ascii="Segoe UI Symbol" w:hAnsi="Segoe UI Symbol" w:cs="Segoe UI Symbol"/>
          <w:sz w:val="22"/>
          <w:szCs w:val="22"/>
        </w:rPr>
        <w:t>✔</w:t>
      </w:r>
      <w:r>
        <w:rPr>
          <w:rFonts w:ascii="Calibri" w:hAnsi="Calibri" w:cs="Calibri"/>
          <w:sz w:val="22"/>
          <w:szCs w:val="22"/>
        </w:rPr>
        <w:t xml:space="preserve"> Keep Right to Work records throughout employment and for two years after it ends.</w:t>
      </w:r>
      <w:r>
        <w:rPr>
          <w:rFonts w:ascii="Calibri" w:hAnsi="Calibri" w:cs="Calibri"/>
          <w:sz w:val="22"/>
          <w:szCs w:val="22"/>
        </w:rPr>
        <w:br/>
      </w:r>
      <w:r>
        <w:rPr>
          <w:rFonts w:ascii="Segoe UI Symbol" w:hAnsi="Segoe UI Symbol" w:cs="Segoe UI Symbol"/>
          <w:sz w:val="22"/>
          <w:szCs w:val="22"/>
        </w:rPr>
        <w:t>✔</w:t>
      </w:r>
      <w:r>
        <w:rPr>
          <w:rFonts w:ascii="Calibri" w:hAnsi="Calibri" w:cs="Calibri"/>
          <w:sz w:val="22"/>
          <w:szCs w:val="22"/>
        </w:rPr>
        <w:t xml:space="preserve"> Carry out follow-up checks for workers with time-limited permission.</w:t>
      </w:r>
      <w:r>
        <w:rPr>
          <w:rFonts w:ascii="Calibri" w:hAnsi="Calibri" w:cs="Calibri"/>
          <w:sz w:val="22"/>
          <w:szCs w:val="22"/>
        </w:rPr>
        <w:br/>
      </w:r>
      <w:r>
        <w:rPr>
          <w:rFonts w:ascii="Segoe UI Symbol" w:hAnsi="Segoe UI Symbol" w:cs="Segoe UI Symbol"/>
          <w:sz w:val="22"/>
          <w:szCs w:val="22"/>
        </w:rPr>
        <w:t>✔</w:t>
      </w:r>
      <w:r>
        <w:rPr>
          <w:rFonts w:ascii="Calibri" w:hAnsi="Calibri" w:cs="Calibri"/>
          <w:sz w:val="22"/>
          <w:szCs w:val="22"/>
        </w:rPr>
        <w:t xml:space="preserve"> Review how Right to Work checks are managed for bank, relief and agency workers.</w:t>
      </w:r>
      <w:r>
        <w:rPr>
          <w:rFonts w:ascii="Calibri" w:hAnsi="Calibri" w:cs="Calibri"/>
          <w:sz w:val="22"/>
          <w:szCs w:val="22"/>
        </w:rPr>
        <w:br/>
      </w:r>
      <w:r>
        <w:rPr>
          <w:rFonts w:ascii="Segoe UI Symbol" w:hAnsi="Segoe UI Symbol" w:cs="Segoe UI Symbol"/>
          <w:sz w:val="22"/>
          <w:szCs w:val="22"/>
        </w:rPr>
        <w:t>✔</w:t>
      </w:r>
      <w:r>
        <w:rPr>
          <w:rFonts w:ascii="Calibri" w:hAnsi="Calibri" w:cs="Calibri"/>
          <w:sz w:val="22"/>
          <w:szCs w:val="22"/>
        </w:rPr>
        <w:t xml:space="preserve"> Confirm responsibilities for Right to Work checks across recruitment agencies and labour supply chains.</w:t>
      </w:r>
      <w:r>
        <w:rPr>
          <w:rFonts w:ascii="Calibri" w:hAnsi="Calibri" w:cs="Calibri"/>
          <w:sz w:val="22"/>
          <w:szCs w:val="22"/>
        </w:rPr>
        <w:br/>
      </w:r>
      <w:r>
        <w:rPr>
          <w:rFonts w:ascii="Segoe UI Symbol" w:hAnsi="Segoe UI Symbol" w:cs="Segoe UI Symbol"/>
          <w:sz w:val="22"/>
          <w:szCs w:val="22"/>
        </w:rPr>
        <w:t>✔</w:t>
      </w:r>
      <w:r>
        <w:rPr>
          <w:rFonts w:ascii="Calibri" w:hAnsi="Calibri" w:cs="Calibri"/>
          <w:sz w:val="22"/>
          <w:szCs w:val="22"/>
        </w:rPr>
        <w:t xml:space="preserve"> Ensure managers can verify workers quickly when arranging emergency or last-minute shift cover.</w:t>
      </w:r>
      <w:r>
        <w:rPr>
          <w:rFonts w:ascii="Calibri" w:hAnsi="Calibri" w:cs="Calibri"/>
          <w:sz w:val="22"/>
          <w:szCs w:val="22"/>
        </w:rPr>
        <w:br/>
      </w:r>
      <w:r>
        <w:rPr>
          <w:rFonts w:ascii="Segoe UI Symbol" w:hAnsi="Segoe UI Symbol" w:cs="Segoe UI Symbol"/>
          <w:sz w:val="22"/>
          <w:szCs w:val="22"/>
        </w:rPr>
        <w:t>✔</w:t>
      </w:r>
      <w:r>
        <w:rPr>
          <w:rFonts w:ascii="Calibri" w:hAnsi="Calibri" w:cs="Calibri"/>
          <w:sz w:val="22"/>
          <w:szCs w:val="22"/>
        </w:rPr>
        <w:t xml:space="preserve"> Regularly review your processes to ensure they would withstand a Home Office inspection.</w:t>
      </w:r>
      <w:r>
        <w:rPr>
          <w:rFonts w:ascii="Calibri" w:hAnsi="Calibri" w:cs="Calibri"/>
          <w:sz w:val="22"/>
          <w:szCs w:val="22"/>
        </w:rPr>
        <w:br/>
      </w:r>
      <w:r>
        <w:rPr>
          <w:rFonts w:ascii="Segoe UI Symbol" w:hAnsi="Segoe UI Symbol" w:cs="Segoe UI Symbol"/>
          <w:sz w:val="22"/>
          <w:szCs w:val="22"/>
        </w:rPr>
        <w:lastRenderedPageBreak/>
        <w:t>✔</w:t>
      </w:r>
      <w:r>
        <w:rPr>
          <w:rFonts w:ascii="Calibri" w:hAnsi="Calibri" w:cs="Calibri"/>
          <w:sz w:val="22"/>
          <w:szCs w:val="22"/>
        </w:rPr>
        <w:t xml:space="preserve"> Remember that non-compliance could result in civil penalties of up to </w:t>
      </w:r>
      <w:r>
        <w:rPr>
          <w:rStyle w:val="Strong"/>
          <w:rFonts w:ascii="Calibri" w:hAnsi="Calibri" w:cs="Calibri"/>
          <w:sz w:val="22"/>
          <w:szCs w:val="22"/>
        </w:rPr>
        <w:t>£45,000</w:t>
      </w:r>
      <w:r>
        <w:rPr>
          <w:rFonts w:ascii="Calibri" w:hAnsi="Calibri" w:cs="Calibri"/>
          <w:sz w:val="22"/>
          <w:szCs w:val="22"/>
        </w:rPr>
        <w:t xml:space="preserve"> per illegal worker for a first breach and </w:t>
      </w:r>
      <w:r>
        <w:rPr>
          <w:rStyle w:val="Strong"/>
          <w:rFonts w:ascii="Calibri" w:hAnsi="Calibri" w:cs="Calibri"/>
          <w:sz w:val="22"/>
          <w:szCs w:val="22"/>
        </w:rPr>
        <w:t>£60,000</w:t>
      </w:r>
      <w:r>
        <w:rPr>
          <w:rFonts w:ascii="Calibri" w:hAnsi="Calibri" w:cs="Calibri"/>
          <w:sz w:val="22"/>
          <w:szCs w:val="22"/>
        </w:rPr>
        <w:t xml:space="preserve"> for repeat breaches.</w:t>
      </w:r>
    </w:p>
    <w:p w14:paraId="43DE1025" w14:textId="77777777" w:rsidR="003D1FE6" w:rsidRPr="003D1FE6" w:rsidRDefault="003D1FE6" w:rsidP="003D1FE6">
      <w:pPr>
        <w:spacing w:before="15" w:after="32"/>
        <w:rPr>
          <w:rFonts w:ascii="Times New Roman" w:eastAsia="Times New Roman" w:hAnsi="Times New Roman" w:cs="Times New Roman"/>
          <w:sz w:val="24"/>
          <w:szCs w:val="24"/>
          <w:lang w:val="en-IN" w:eastAsia="en-IN"/>
        </w:rPr>
      </w:pPr>
      <w:r>
        <w:rPr>
          <w:rFonts w:eastAsia="Times New Roman"/>
          <w:lang w:val="en-IN" w:eastAsia="en-IN"/>
        </w:rPr>
        <w:t>Remember that Right to Work compliance is no longer simply an HR task—it is now an essential part of organisational governance and risk management</w:t>
      </w:r>
      <w:r>
        <w:rPr>
          <w:rFonts w:ascii="Times New Roman" w:eastAsia="Times New Roman" w:hAnsi="Times New Roman" w:cs="Times New Roman"/>
          <w:sz w:val="24"/>
          <w:szCs w:val="24"/>
          <w:lang w:val="en-IN" w:eastAsia="en-IN"/>
        </w:rPr>
        <w:t>.</w:t>
      </w:r>
    </w:p>
    <w:p w14:paraId="28CA72FF" w14:textId="77777777" w:rsidR="0073654C" w:rsidRDefault="0073654C" w:rsidP="0073654C">
      <w:pPr>
        <w:spacing w:after="63"/>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7436D" w14:paraId="772EACB7" w14:textId="77777777" w:rsidTr="003B5221">
        <w:trPr>
          <w:trHeight w:val="1400"/>
        </w:trPr>
        <w:tc>
          <w:tcPr>
            <w:tcW w:w="9360" w:type="dxa"/>
            <w:tcBorders>
              <w:top w:val="single" w:sz="4" w:space="0" w:color="C9892F"/>
              <w:left w:val="single" w:sz="4" w:space="0" w:color="C9892F"/>
              <w:bottom w:val="single" w:sz="4" w:space="0" w:color="C9892F"/>
              <w:right w:val="single" w:sz="4" w:space="0" w:color="C9892F"/>
            </w:tcBorders>
            <w:shd w:val="clear" w:color="auto" w:fill="FEF6E7"/>
            <w:tcMar>
              <w:top w:w="200" w:type="dxa"/>
              <w:left w:w="240" w:type="dxa"/>
              <w:bottom w:w="200" w:type="dxa"/>
              <w:right w:w="240" w:type="dxa"/>
            </w:tcMar>
          </w:tcPr>
          <w:p w14:paraId="4639702D" w14:textId="77777777" w:rsidR="0067436D" w:rsidRDefault="00D62E2D">
            <w:pPr>
              <w:spacing w:after="32"/>
            </w:pPr>
            <w:r>
              <w:rPr>
                <w:b/>
                <w:bCs/>
                <w:color w:val="C9892F"/>
                <w:spacing w:val="60"/>
                <w:sz w:val="18"/>
                <w:szCs w:val="18"/>
              </w:rPr>
              <w:t>TAKEAWAY</w:t>
            </w:r>
          </w:p>
          <w:p w14:paraId="39AC36A5" w14:textId="77777777" w:rsidR="00124BA0" w:rsidRPr="00124BA0" w:rsidRDefault="00124BA0" w:rsidP="00124BA0">
            <w:pPr>
              <w:spacing w:before="15" w:after="32"/>
              <w:rPr>
                <w:rFonts w:ascii="Times New Roman" w:eastAsia="Times New Roman" w:hAnsi="Times New Roman" w:cs="Times New Roman"/>
                <w:i/>
                <w:lang w:val="en-IN" w:eastAsia="en-IN"/>
              </w:rPr>
            </w:pPr>
            <w:r>
              <w:rPr>
                <w:rFonts w:ascii="Times New Roman" w:eastAsia="Times New Roman" w:hAnsi="Times New Roman" w:cs="Times New Roman"/>
                <w:i/>
                <w:lang w:val="en-IN" w:eastAsia="en-IN"/>
              </w:rPr>
              <w:t>Good Right to Work checks are your strongest legal defence against civil penalties.</w:t>
            </w:r>
          </w:p>
          <w:p w14:paraId="1EB9366E" w14:textId="77777777" w:rsidR="00124BA0" w:rsidRPr="00124BA0" w:rsidRDefault="00124BA0" w:rsidP="00124BA0">
            <w:pPr>
              <w:spacing w:before="15" w:after="32"/>
              <w:rPr>
                <w:rFonts w:ascii="Times New Roman" w:eastAsia="Times New Roman" w:hAnsi="Times New Roman" w:cs="Times New Roman"/>
                <w:i/>
                <w:lang w:val="en-IN" w:eastAsia="en-IN"/>
              </w:rPr>
            </w:pPr>
            <w:r>
              <w:rPr>
                <w:rFonts w:ascii="Times New Roman" w:eastAsia="Times New Roman" w:hAnsi="Times New Roman" w:cs="Times New Roman"/>
                <w:i/>
                <w:lang w:val="en-IN" w:eastAsia="en-IN"/>
              </w:rPr>
              <w:t>Review your recruitment process now, train your managers and ensure your records would withstand a Home Office inspection.</w:t>
            </w:r>
          </w:p>
          <w:p w14:paraId="249159CC" w14:textId="39B396C8" w:rsidR="0067436D" w:rsidRDefault="0067436D"/>
        </w:tc>
      </w:tr>
    </w:tbl>
    <w:p w14:paraId="35824D7E" w14:textId="77777777" w:rsidR="0067436D" w:rsidRDefault="0067436D">
      <w:pPr>
        <w:pBdr>
          <w:bottom w:val="single" w:sz="8" w:space="1" w:color="744A98"/>
        </w:pBdr>
        <w:spacing w:before="24" w:after="47"/>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9240"/>
      </w:tblGrid>
      <w:tr w:rsidR="0067436D" w14:paraId="40BAA029" w14:textId="77777777">
        <w:tc>
          <w:tcPr>
            <w:tcW w:w="120" w:type="dxa"/>
            <w:tcBorders>
              <w:top w:val="none" w:sz="0" w:space="0" w:color="FFFFFF"/>
              <w:left w:val="none" w:sz="0" w:space="0" w:color="FFFFFF"/>
              <w:bottom w:val="none" w:sz="0" w:space="0" w:color="FFFFFF"/>
              <w:right w:val="none" w:sz="0" w:space="0" w:color="FFFFFF"/>
            </w:tcBorders>
            <w:shd w:val="clear" w:color="auto" w:fill="C9892F"/>
            <w:tcMar>
              <w:top w:w="60" w:type="dxa"/>
              <w:left w:w="0" w:type="dxa"/>
              <w:bottom w:w="60" w:type="dxa"/>
              <w:right w:w="0" w:type="dxa"/>
            </w:tcMar>
          </w:tcPr>
          <w:p w14:paraId="62E3BC8E" w14:textId="77777777" w:rsidR="0067436D" w:rsidRDefault="0067436D"/>
        </w:tc>
        <w:tc>
          <w:tcPr>
            <w:tcW w:w="9240" w:type="dxa"/>
            <w:tcBorders>
              <w:top w:val="none" w:sz="0" w:space="0" w:color="FFFFFF"/>
              <w:left w:val="none" w:sz="0" w:space="0" w:color="FFFFFF"/>
              <w:bottom w:val="none" w:sz="0" w:space="0" w:color="FFFFFF"/>
              <w:right w:val="none" w:sz="0" w:space="0" w:color="FFFFFF"/>
            </w:tcBorders>
            <w:tcMar>
              <w:top w:w="80" w:type="dxa"/>
              <w:left w:w="200" w:type="dxa"/>
              <w:bottom w:w="60" w:type="dxa"/>
              <w:right w:w="100" w:type="dxa"/>
            </w:tcMar>
          </w:tcPr>
          <w:p w14:paraId="55C56EFF" w14:textId="77777777" w:rsidR="0067436D" w:rsidRDefault="00D62E2D">
            <w:pPr>
              <w:spacing w:after="16"/>
            </w:pPr>
            <w:r>
              <w:rPr>
                <w:b/>
                <w:bCs/>
                <w:color w:val="C9892F"/>
                <w:spacing w:val="60"/>
                <w:sz w:val="18"/>
                <w:szCs w:val="18"/>
              </w:rPr>
              <w:t>Q&amp;A</w:t>
            </w:r>
          </w:p>
          <w:p w14:paraId="12401D8F" w14:textId="77777777" w:rsidR="0067436D" w:rsidRDefault="00D62E2D">
            <w:r>
              <w:rPr>
                <w:b/>
                <w:bCs/>
                <w:color w:val="744A98"/>
                <w:sz w:val="32"/>
                <w:szCs w:val="32"/>
              </w:rPr>
              <w:t>Ask AC Solutions</w:t>
            </w:r>
          </w:p>
        </w:tc>
      </w:tr>
    </w:tbl>
    <w:p w14:paraId="3CDB2A6F" w14:textId="411BCAED" w:rsidR="0067436D" w:rsidRDefault="00D62E2D">
      <w:r>
        <w:rPr>
          <w:i/>
          <w:iCs/>
          <w:color w:val="6B7280"/>
        </w:rPr>
        <w:t>Each month we answer one real question from a client. Got something you'd like us to tackle next month? Send your question to support@acsolutions.com.</w:t>
      </w:r>
    </w:p>
    <w:p w14:paraId="3EF7CBF3" w14:textId="77777777" w:rsidR="0067436D" w:rsidRDefault="0067436D">
      <w:pPr>
        <w:spacing w:after="63"/>
      </w:pPr>
    </w:p>
    <w:p w14:paraId="43580B22" w14:textId="4DF63808" w:rsidR="0067436D" w:rsidRDefault="00D62E2D">
      <w:pPr>
        <w:spacing w:after="63"/>
      </w:pPr>
      <w:r>
        <w:rPr>
          <w:b/>
          <w:bCs/>
          <w:color w:val="C9892F"/>
          <w:sz w:val="24"/>
          <w:szCs w:val="24"/>
        </w:rPr>
        <w:t>Q:</w:t>
      </w:r>
      <w:r>
        <w:rPr>
          <w:b/>
          <w:bCs/>
          <w:color w:val="472D5E"/>
          <w:sz w:val="24"/>
          <w:szCs w:val="24"/>
        </w:rPr>
        <w:t xml:space="preserve"> </w:t>
      </w:r>
      <w:r>
        <w:t>We've always taken a copy of passports. Is that still enough</w:t>
      </w:r>
      <w:r>
        <w:rPr>
          <w:b/>
          <w:bCs/>
          <w:color w:val="472D5E"/>
          <w:sz w:val="24"/>
          <w:szCs w:val="24"/>
        </w:rPr>
        <w:t xml:space="preserve">? </w:t>
      </w:r>
    </w:p>
    <w:p w14:paraId="5DCC4875" w14:textId="77777777" w:rsidR="00124BA0" w:rsidRPr="00124BA0" w:rsidRDefault="00D62E2D" w:rsidP="00124BA0">
      <w:pPr>
        <w:pStyle w:val="pdq2pgselectionanchorcontainer"/>
        <w:rPr>
          <w:rFonts w:ascii="Calibri" w:hAnsi="Calibri" w:cs="Calibri"/>
          <w:sz w:val="22"/>
          <w:szCs w:val="22"/>
        </w:rPr>
      </w:pPr>
      <w:r>
        <w:rPr>
          <w:rFonts w:ascii="Calibri" w:hAnsi="Calibri" w:cs="Calibri"/>
          <w:b/>
          <w:bCs/>
          <w:color w:val="7030A0"/>
          <w:sz w:val="22"/>
          <w:szCs w:val="22"/>
        </w:rPr>
        <w:t>A</w:t>
      </w:r>
      <w:r>
        <w:rPr>
          <w:b/>
          <w:bCs/>
        </w:rPr>
        <w:t xml:space="preserve">: </w:t>
      </w:r>
      <w:r>
        <w:rPr>
          <w:rFonts w:ascii="Calibri" w:hAnsi="Calibri" w:cs="Calibri"/>
          <w:sz w:val="22"/>
          <w:szCs w:val="22"/>
        </w:rPr>
        <w:t>Not always.</w:t>
      </w:r>
    </w:p>
    <w:p w14:paraId="01049CC8" w14:textId="77777777" w:rsidR="00124BA0" w:rsidRPr="00124BA0" w:rsidRDefault="00124BA0" w:rsidP="00124BA0">
      <w:pPr>
        <w:spacing w:before="15" w:after="32"/>
        <w:rPr>
          <w:rFonts w:eastAsia="Times New Roman"/>
          <w:lang w:val="en-IN" w:eastAsia="en-IN"/>
        </w:rPr>
      </w:pPr>
      <w:r>
        <w:rPr>
          <w:rFonts w:eastAsia="Times New Roman"/>
          <w:lang w:val="en-IN" w:eastAsia="en-IN"/>
        </w:rPr>
        <w:t xml:space="preserve">Many migrants now hold an </w:t>
      </w:r>
      <w:r>
        <w:rPr>
          <w:rFonts w:eastAsia="Times New Roman"/>
          <w:b/>
          <w:bCs/>
          <w:lang w:val="en-IN" w:eastAsia="en-IN"/>
        </w:rPr>
        <w:t>eVisa</w:t>
      </w:r>
      <w:r>
        <w:rPr>
          <w:rFonts w:eastAsia="Times New Roman"/>
          <w:lang w:val="en-IN" w:eastAsia="en-IN"/>
        </w:rPr>
        <w:t>, meaning their immigration status can only be checked using the official Home Office online Right to Work service.</w:t>
      </w:r>
    </w:p>
    <w:p w14:paraId="28FF43D4" w14:textId="77777777" w:rsidR="00124BA0" w:rsidRPr="00124BA0" w:rsidRDefault="00124BA0" w:rsidP="00124BA0">
      <w:pPr>
        <w:spacing w:before="15" w:after="32"/>
        <w:rPr>
          <w:rFonts w:eastAsia="Times New Roman"/>
          <w:lang w:val="en-IN" w:eastAsia="en-IN"/>
        </w:rPr>
      </w:pPr>
      <w:r>
        <w:rPr>
          <w:rFonts w:eastAsia="Times New Roman"/>
          <w:lang w:val="en-IN" w:eastAsia="en-IN"/>
        </w:rPr>
        <w:t>Employers should ensure they know which checking method applies:</w:t>
      </w:r>
    </w:p>
    <w:p w14:paraId="63D9E512" w14:textId="77777777" w:rsidR="00124BA0" w:rsidRPr="00124BA0" w:rsidRDefault="00124BA0" w:rsidP="00124BA0">
      <w:pPr>
        <w:numPr>
          <w:ilvl w:val="0"/>
          <w:numId w:val="6"/>
        </w:numPr>
        <w:spacing w:before="15" w:after="32"/>
        <w:rPr>
          <w:rFonts w:eastAsia="Times New Roman"/>
          <w:lang w:val="en-IN" w:eastAsia="en-IN"/>
        </w:rPr>
      </w:pPr>
      <w:r>
        <w:rPr>
          <w:rFonts w:eastAsia="Times New Roman"/>
          <w:lang w:val="en-IN" w:eastAsia="en-IN"/>
        </w:rPr>
        <w:t xml:space="preserve">Manual document checks </w:t>
      </w:r>
    </w:p>
    <w:p w14:paraId="3935CCB4" w14:textId="77777777" w:rsidR="00124BA0" w:rsidRPr="00124BA0" w:rsidRDefault="00124BA0" w:rsidP="00124BA0">
      <w:pPr>
        <w:numPr>
          <w:ilvl w:val="0"/>
          <w:numId w:val="6"/>
        </w:numPr>
        <w:spacing w:before="15" w:after="32"/>
        <w:rPr>
          <w:rFonts w:eastAsia="Times New Roman"/>
          <w:lang w:val="en-IN" w:eastAsia="en-IN"/>
        </w:rPr>
      </w:pPr>
      <w:r>
        <w:rPr>
          <w:rFonts w:eastAsia="Times New Roman"/>
          <w:lang w:val="en-IN" w:eastAsia="en-IN"/>
        </w:rPr>
        <w:t xml:space="preserve">Home Office online checks </w:t>
      </w:r>
    </w:p>
    <w:p w14:paraId="5FFAD96D" w14:textId="77777777" w:rsidR="00124BA0" w:rsidRPr="00124BA0" w:rsidRDefault="00124BA0" w:rsidP="00124BA0">
      <w:pPr>
        <w:numPr>
          <w:ilvl w:val="0"/>
          <w:numId w:val="6"/>
        </w:numPr>
        <w:spacing w:before="15" w:after="32"/>
        <w:rPr>
          <w:rFonts w:eastAsia="Times New Roman"/>
          <w:lang w:val="en-IN" w:eastAsia="en-IN"/>
        </w:rPr>
      </w:pPr>
      <w:r>
        <w:rPr>
          <w:rFonts w:eastAsia="Times New Roman"/>
          <w:lang w:val="en-IN" w:eastAsia="en-IN"/>
        </w:rPr>
        <w:t xml:space="preserve">Employer Checking Service </w:t>
      </w:r>
    </w:p>
    <w:p w14:paraId="357401BD" w14:textId="77777777" w:rsidR="00124BA0" w:rsidRPr="00124BA0" w:rsidRDefault="00124BA0" w:rsidP="00124BA0">
      <w:pPr>
        <w:numPr>
          <w:ilvl w:val="0"/>
          <w:numId w:val="6"/>
        </w:numPr>
        <w:spacing w:before="15" w:after="32"/>
        <w:rPr>
          <w:rFonts w:eastAsia="Times New Roman"/>
          <w:lang w:val="en-IN" w:eastAsia="en-IN"/>
        </w:rPr>
      </w:pPr>
      <w:r>
        <w:rPr>
          <w:rFonts w:eastAsia="Times New Roman"/>
          <w:lang w:val="en-IN" w:eastAsia="en-IN"/>
        </w:rPr>
        <w:t xml:space="preserve">Approved Right to Work Digital Verification Service Providers (DVSPs) </w:t>
      </w:r>
    </w:p>
    <w:p w14:paraId="01D7AB5C" w14:textId="366197AA" w:rsidR="0073654C" w:rsidRPr="0073654C" w:rsidRDefault="00124BA0" w:rsidP="003B5221">
      <w:pPr>
        <w:spacing w:before="15" w:after="32"/>
        <w:rPr>
          <w:lang w:val="en-IN"/>
        </w:rPr>
      </w:pPr>
      <w:r>
        <w:rPr>
          <w:rFonts w:eastAsia="Times New Roman"/>
          <w:lang w:val="en-IN" w:eastAsia="en-IN"/>
        </w:rPr>
        <w:t>Using the wrong checking method could mean you lose your statutory excuse if illegal working is later identified</w:t>
      </w:r>
      <w:r>
        <w:rPr>
          <w:rFonts w:ascii="Times New Roman" w:eastAsia="Times New Roman" w:hAnsi="Times New Roman" w:cs="Times New Roman"/>
          <w:sz w:val="24"/>
          <w:szCs w:val="24"/>
          <w:lang w:val="en-IN" w:eastAsia="en-IN"/>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7436D" w14:paraId="4F43ED69" w14:textId="77777777">
        <w:tc>
          <w:tcPr>
            <w:tcW w:w="9360" w:type="dxa"/>
            <w:tcBorders>
              <w:top w:val="single" w:sz="4" w:space="0" w:color="472D5E"/>
              <w:left w:val="single" w:sz="4" w:space="0" w:color="472D5E"/>
              <w:bottom w:val="single" w:sz="4" w:space="0" w:color="472D5E"/>
              <w:right w:val="single" w:sz="4" w:space="0" w:color="472D5E"/>
            </w:tcBorders>
            <w:shd w:val="clear" w:color="auto" w:fill="472D5E"/>
            <w:tcMar>
              <w:top w:w="200" w:type="dxa"/>
              <w:left w:w="240" w:type="dxa"/>
              <w:bottom w:w="200" w:type="dxa"/>
              <w:right w:w="240" w:type="dxa"/>
            </w:tcMar>
          </w:tcPr>
          <w:p w14:paraId="55D1CEBD" w14:textId="77777777" w:rsidR="0067436D" w:rsidRDefault="00D62E2D">
            <w:pPr>
              <w:spacing w:after="32"/>
            </w:pPr>
            <w:r>
              <w:rPr>
                <w:b/>
                <w:bCs/>
                <w:color w:val="C9892F"/>
                <w:spacing w:val="60"/>
                <w:sz w:val="18"/>
                <w:szCs w:val="18"/>
              </w:rPr>
              <w:t>UNTIL NEXT MONTH</w:t>
            </w:r>
          </w:p>
          <w:p w14:paraId="60F20EC4" w14:textId="77777777" w:rsidR="00056CE0" w:rsidRDefault="00056CE0" w:rsidP="00056CE0">
            <w:pPr>
              <w:rPr>
                <w:b/>
                <w:bCs/>
                <w:color w:val="C9892F"/>
              </w:rPr>
            </w:pPr>
            <w:r>
              <w:rPr>
                <w:color w:val="FFFFFF"/>
              </w:rPr>
              <w:t>Thank you for reading. If this newsletter was useful, please forward it to a colleague</w:t>
            </w:r>
          </w:p>
          <w:p w14:paraId="412D5689" w14:textId="77777777" w:rsidR="00056CE0" w:rsidRDefault="00056CE0" w:rsidP="00056CE0">
            <w:r>
              <w:rPr>
                <w:color w:val="FFFFFF"/>
              </w:rPr>
              <w:t xml:space="preserve"> who would benefit. We grow through your trust and your introductions.</w:t>
            </w:r>
          </w:p>
          <w:p w14:paraId="035D9DBD" w14:textId="77777777" w:rsidR="00056CE0" w:rsidRDefault="00056CE0" w:rsidP="00056CE0">
            <w:pPr>
              <w:spacing w:after="32"/>
            </w:pPr>
          </w:p>
          <w:p w14:paraId="65281F41" w14:textId="389DE55F" w:rsidR="0073654C" w:rsidRDefault="0073654C">
            <w:r>
              <w:rPr>
                <w:color w:val="FFFFFF" w:themeColor="background1"/>
              </w:rPr>
              <w:t xml:space="preserve">Email </w:t>
            </w:r>
            <w:r>
              <w:rPr>
                <w:b/>
                <w:bCs/>
                <w:color w:val="FFFFFF" w:themeColor="background1"/>
              </w:rPr>
              <w:t>jasmine@acsolutions.org.uk</w:t>
            </w:r>
            <w:r>
              <w:rPr>
                <w:color w:val="FFFFFF" w:themeColor="background1"/>
              </w:rPr>
              <w:t xml:space="preserve">  •  Call </w:t>
            </w:r>
            <w:r>
              <w:rPr>
                <w:b/>
                <w:bCs/>
                <w:color w:val="FFFFFF" w:themeColor="background1"/>
              </w:rPr>
              <w:t>[+44 (0)77 2343 5400</w:t>
            </w:r>
            <w:r>
              <w:rPr>
                <w:color w:val="FFFFFF" w:themeColor="background1"/>
              </w:rPr>
              <w:t xml:space="preserve">  •  Visit </w:t>
            </w:r>
            <w:r>
              <w:rPr>
                <w:b/>
                <w:bCs/>
                <w:color w:val="FFFFFF" w:themeColor="background1"/>
              </w:rPr>
              <w:t>www.acsolutions.org.uk</w:t>
            </w:r>
          </w:p>
        </w:tc>
      </w:tr>
    </w:tbl>
    <w:p w14:paraId="7BF7A517" w14:textId="77777777" w:rsidR="00D62E2D" w:rsidRDefault="00D62E2D"/>
    <w:sectPr w:rsidR="00D62E2D" w:rsidSect="00447EBA">
      <w:footerReference w:type="default" r:id="rId8"/>
      <w:pgSz w:w="12240" w:h="15840"/>
      <w:pgMar w:top="1077" w:right="1440" w:bottom="1077"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D169A" w14:textId="77777777" w:rsidR="0061153E" w:rsidRDefault="0061153E">
      <w:r>
        <w:separator/>
      </w:r>
    </w:p>
  </w:endnote>
  <w:endnote w:type="continuationSeparator" w:id="0">
    <w:p w14:paraId="6A476FD2" w14:textId="77777777" w:rsidR="0061153E" w:rsidRDefault="0061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00000001" w:usb1="00000003" w:usb2="00000000" w:usb3="00000000" w:csb0="0000019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6D43E" w14:textId="2B050F62" w:rsidR="0067436D" w:rsidRDefault="00D62E2D">
    <w:pPr>
      <w:jc w:val="center"/>
    </w:pPr>
    <w:r>
      <w:rPr>
        <w:color w:val="6B7280"/>
        <w:sz w:val="18"/>
        <w:szCs w:val="18"/>
      </w:rPr>
      <w:t>AC Solutions</w:t>
    </w:r>
    <w:r w:rsidR="0073654C">
      <w:rPr>
        <w:color w:val="6B7280"/>
        <w:sz w:val="18"/>
        <w:szCs w:val="18"/>
      </w:rPr>
      <w:t xml:space="preserve"> International Ltd</w:t>
    </w:r>
    <w:r>
      <w:rPr>
        <w:color w:val="6B7280"/>
        <w:sz w:val="18"/>
        <w:szCs w:val="18"/>
      </w:rPr>
      <w:t xml:space="preserve">  •  </w:t>
    </w:r>
    <w:r w:rsidR="0073654C" w:rsidRPr="0073654C">
      <w:rPr>
        <w:color w:val="6B7280"/>
        <w:sz w:val="18"/>
        <w:szCs w:val="18"/>
      </w:rPr>
      <w:t>www.acsolutions.org.uk</w:t>
    </w:r>
    <w:r>
      <w:rPr>
        <w:color w:val="6B7280"/>
        <w:sz w:val="18"/>
        <w:szCs w:val="18"/>
      </w:rPr>
      <w:t xml:space="preserve"> •  </w:t>
    </w:r>
    <w:r>
      <w:rPr>
        <w:color w:val="6B7280"/>
        <w:sz w:val="18"/>
        <w:szCs w:val="18"/>
      </w:rPr>
      <w:fldChar w:fldCharType="begin"/>
    </w:r>
    <w:r>
      <w:rPr>
        <w:color w:val="6B7280"/>
        <w:sz w:val="18"/>
        <w:szCs w:val="18"/>
      </w:rPr>
      <w:instrText>PAGE</w:instrText>
    </w:r>
    <w:r>
      <w:rPr>
        <w:color w:val="6B7280"/>
        <w:sz w:val="18"/>
        <w:szCs w:val="18"/>
      </w:rPr>
      <w:fldChar w:fldCharType="separate"/>
    </w:r>
    <w:r w:rsidR="002759BE">
      <w:rPr>
        <w:noProof/>
        <w:color w:val="6B7280"/>
        <w:sz w:val="18"/>
        <w:szCs w:val="18"/>
      </w:rPr>
      <w:t>1</w:t>
    </w:r>
    <w:r>
      <w:rPr>
        <w:color w:val="6B7280"/>
        <w:sz w:val="18"/>
        <w:szCs w:val="18"/>
      </w:rPr>
      <w:fldChar w:fldCharType="end"/>
    </w:r>
    <w:r>
      <w:rPr>
        <w:color w:val="6B7280"/>
        <w:sz w:val="18"/>
        <w:szCs w:val="18"/>
      </w:rPr>
      <w:t xml:space="preserve"> of </w:t>
    </w:r>
    <w:r>
      <w:rPr>
        <w:color w:val="6B7280"/>
        <w:sz w:val="18"/>
        <w:szCs w:val="18"/>
      </w:rPr>
      <w:fldChar w:fldCharType="begin"/>
    </w:r>
    <w:r>
      <w:rPr>
        <w:color w:val="6B7280"/>
        <w:sz w:val="18"/>
        <w:szCs w:val="18"/>
      </w:rPr>
      <w:instrText>NUMPAGES</w:instrText>
    </w:r>
    <w:r>
      <w:rPr>
        <w:color w:val="6B7280"/>
        <w:sz w:val="18"/>
        <w:szCs w:val="18"/>
      </w:rPr>
      <w:fldChar w:fldCharType="separate"/>
    </w:r>
    <w:r w:rsidR="002759BE">
      <w:rPr>
        <w:noProof/>
        <w:color w:val="6B7280"/>
        <w:sz w:val="18"/>
        <w:szCs w:val="18"/>
      </w:rPr>
      <w:t>4</w:t>
    </w:r>
    <w:r>
      <w:rPr>
        <w:color w:val="6B72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0FB02" w14:textId="77777777" w:rsidR="0061153E" w:rsidRDefault="0061153E">
      <w:r>
        <w:separator/>
      </w:r>
    </w:p>
  </w:footnote>
  <w:footnote w:type="continuationSeparator" w:id="0">
    <w:p w14:paraId="7661CA84" w14:textId="77777777" w:rsidR="0061153E" w:rsidRDefault="00611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2BCB"/>
    <w:multiLevelType w:val="multilevel"/>
    <w:tmpl w:val="A3162E72"/>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nsid w:val="1F0361E4"/>
    <w:multiLevelType w:val="hybridMultilevel"/>
    <w:tmpl w:val="5246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7252CE"/>
    <w:multiLevelType w:val="multilevel"/>
    <w:tmpl w:val="FF74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636E7"/>
    <w:multiLevelType w:val="multilevel"/>
    <w:tmpl w:val="9DB49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BD4C39"/>
    <w:multiLevelType w:val="multilevel"/>
    <w:tmpl w:val="F87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BF2B87"/>
    <w:multiLevelType w:val="hybridMultilevel"/>
    <w:tmpl w:val="35B01C0A"/>
    <w:lvl w:ilvl="0" w:tplc="31AA9F50">
      <w:start w:val="1"/>
      <w:numFmt w:val="bullet"/>
      <w:lvlText w:val="●"/>
      <w:lvlJc w:val="left"/>
      <w:pPr>
        <w:ind w:left="720" w:hanging="360"/>
      </w:pPr>
    </w:lvl>
    <w:lvl w:ilvl="1" w:tplc="3D7C2D3C">
      <w:start w:val="1"/>
      <w:numFmt w:val="bullet"/>
      <w:lvlText w:val="○"/>
      <w:lvlJc w:val="left"/>
      <w:pPr>
        <w:ind w:left="1440" w:hanging="360"/>
      </w:pPr>
    </w:lvl>
    <w:lvl w:ilvl="2" w:tplc="9D92945C">
      <w:start w:val="1"/>
      <w:numFmt w:val="bullet"/>
      <w:lvlText w:val="■"/>
      <w:lvlJc w:val="left"/>
      <w:pPr>
        <w:ind w:left="2160" w:hanging="360"/>
      </w:pPr>
    </w:lvl>
    <w:lvl w:ilvl="3" w:tplc="0E460E92">
      <w:start w:val="1"/>
      <w:numFmt w:val="bullet"/>
      <w:lvlText w:val="●"/>
      <w:lvlJc w:val="left"/>
      <w:pPr>
        <w:ind w:left="2880" w:hanging="360"/>
      </w:pPr>
    </w:lvl>
    <w:lvl w:ilvl="4" w:tplc="65A4E1F2">
      <w:start w:val="1"/>
      <w:numFmt w:val="bullet"/>
      <w:lvlText w:val="○"/>
      <w:lvlJc w:val="left"/>
      <w:pPr>
        <w:ind w:left="3600" w:hanging="360"/>
      </w:pPr>
    </w:lvl>
    <w:lvl w:ilvl="5" w:tplc="B4F47384">
      <w:start w:val="1"/>
      <w:numFmt w:val="bullet"/>
      <w:lvlText w:val="■"/>
      <w:lvlJc w:val="left"/>
      <w:pPr>
        <w:ind w:left="4320" w:hanging="360"/>
      </w:pPr>
    </w:lvl>
    <w:lvl w:ilvl="6" w:tplc="32E01786">
      <w:start w:val="1"/>
      <w:numFmt w:val="bullet"/>
      <w:lvlText w:val="●"/>
      <w:lvlJc w:val="left"/>
      <w:pPr>
        <w:ind w:left="5040" w:hanging="360"/>
      </w:pPr>
    </w:lvl>
    <w:lvl w:ilvl="7" w:tplc="F788E64C">
      <w:start w:val="1"/>
      <w:numFmt w:val="bullet"/>
      <w:lvlText w:val="●"/>
      <w:lvlJc w:val="left"/>
      <w:pPr>
        <w:ind w:left="5760" w:hanging="360"/>
      </w:pPr>
    </w:lvl>
    <w:lvl w:ilvl="8" w:tplc="B57E3A52">
      <w:start w:val="1"/>
      <w:numFmt w:val="bullet"/>
      <w:lvlText w:val="●"/>
      <w:lvlJc w:val="left"/>
      <w:pPr>
        <w:ind w:left="6480" w:hanging="360"/>
      </w:pPr>
    </w:lvl>
  </w:abstractNum>
  <w:num w:numId="1">
    <w:abstractNumId w:val="5"/>
    <w:lvlOverride w:ilvl="0">
      <w:startOverride w:val="1"/>
    </w:lvlOverride>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6D"/>
    <w:rsid w:val="00056CE0"/>
    <w:rsid w:val="00073E66"/>
    <w:rsid w:val="000D3E2B"/>
    <w:rsid w:val="00117D30"/>
    <w:rsid w:val="00124BA0"/>
    <w:rsid w:val="00136F7C"/>
    <w:rsid w:val="002759BE"/>
    <w:rsid w:val="002E26A7"/>
    <w:rsid w:val="00362BB2"/>
    <w:rsid w:val="00367775"/>
    <w:rsid w:val="003B5221"/>
    <w:rsid w:val="003C67ED"/>
    <w:rsid w:val="003D1635"/>
    <w:rsid w:val="003D1FE6"/>
    <w:rsid w:val="003D50CC"/>
    <w:rsid w:val="00447EBA"/>
    <w:rsid w:val="004A1401"/>
    <w:rsid w:val="005F75A2"/>
    <w:rsid w:val="0061153E"/>
    <w:rsid w:val="0067436D"/>
    <w:rsid w:val="0073654C"/>
    <w:rsid w:val="007E57B7"/>
    <w:rsid w:val="008D561D"/>
    <w:rsid w:val="0097397C"/>
    <w:rsid w:val="00D62E2D"/>
    <w:rsid w:val="00E00DDA"/>
    <w:rsid w:val="00E57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A3FC4"/>
  <w15:docId w15:val="{DC47B21E-2E38-7B42-B3B4-337283A7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spacing w:before="240" w:after="120"/>
      <w:outlineLvl w:val="0"/>
    </w:pPr>
    <w:rPr>
      <w:b/>
      <w:bCs/>
      <w:color w:val="472D5E"/>
      <w:sz w:val="36"/>
      <w:szCs w:val="36"/>
    </w:rPr>
  </w:style>
  <w:style w:type="paragraph" w:styleId="Heading2">
    <w:name w:val="heading 2"/>
    <w:uiPriority w:val="9"/>
    <w:semiHidden/>
    <w:unhideWhenUsed/>
    <w:qFormat/>
    <w:pPr>
      <w:spacing w:before="200" w:after="100"/>
      <w:outlineLvl w:val="1"/>
    </w:pPr>
    <w:rPr>
      <w:b/>
      <w:bCs/>
      <w:color w:val="472D5E"/>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3654C"/>
    <w:pPr>
      <w:tabs>
        <w:tab w:val="center" w:pos="4513"/>
        <w:tab w:val="right" w:pos="9026"/>
      </w:tabs>
    </w:pPr>
  </w:style>
  <w:style w:type="character" w:customStyle="1" w:styleId="HeaderChar">
    <w:name w:val="Header Char"/>
    <w:basedOn w:val="DefaultParagraphFont"/>
    <w:link w:val="Header"/>
    <w:uiPriority w:val="99"/>
    <w:rsid w:val="0073654C"/>
  </w:style>
  <w:style w:type="paragraph" w:styleId="Footer">
    <w:name w:val="footer"/>
    <w:basedOn w:val="Normal"/>
    <w:link w:val="FooterChar"/>
    <w:uiPriority w:val="99"/>
    <w:unhideWhenUsed/>
    <w:rsid w:val="0073654C"/>
    <w:pPr>
      <w:tabs>
        <w:tab w:val="center" w:pos="4513"/>
        <w:tab w:val="right" w:pos="9026"/>
      </w:tabs>
    </w:pPr>
  </w:style>
  <w:style w:type="character" w:customStyle="1" w:styleId="FooterChar">
    <w:name w:val="Footer Char"/>
    <w:basedOn w:val="DefaultParagraphFont"/>
    <w:link w:val="Footer"/>
    <w:uiPriority w:val="99"/>
    <w:rsid w:val="0073654C"/>
  </w:style>
  <w:style w:type="character" w:styleId="Strong">
    <w:name w:val="Strong"/>
    <w:basedOn w:val="DefaultParagraphFont"/>
    <w:uiPriority w:val="22"/>
    <w:qFormat/>
    <w:rsid w:val="008D561D"/>
    <w:rPr>
      <w:b/>
      <w:bCs/>
    </w:rPr>
  </w:style>
  <w:style w:type="character" w:styleId="Emphasis">
    <w:name w:val="Emphasis"/>
    <w:basedOn w:val="DefaultParagraphFont"/>
    <w:uiPriority w:val="20"/>
    <w:qFormat/>
    <w:rsid w:val="008D561D"/>
    <w:rPr>
      <w:i/>
      <w:iCs/>
    </w:rPr>
  </w:style>
  <w:style w:type="paragraph" w:styleId="NormalWeb">
    <w:name w:val="Normal (Web)"/>
    <w:basedOn w:val="Normal"/>
    <w:uiPriority w:val="99"/>
    <w:semiHidden/>
    <w:unhideWhenUsed/>
    <w:rsid w:val="007E57B7"/>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pdq2pgselectionanchorcontainer">
    <w:name w:val="pdq2pg_selectionanchorcontainer"/>
    <w:basedOn w:val="Normal"/>
    <w:rsid w:val="00124BA0"/>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isselectedend">
    <w:name w:val="isselectedend"/>
    <w:basedOn w:val="Normal"/>
    <w:rsid w:val="003B5221"/>
    <w:pPr>
      <w:spacing w:before="100" w:beforeAutospacing="1" w:after="100" w:afterAutospacing="1"/>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E00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6602">
      <w:bodyDiv w:val="1"/>
      <w:marLeft w:val="0"/>
      <w:marRight w:val="0"/>
      <w:marTop w:val="0"/>
      <w:marBottom w:val="0"/>
      <w:divBdr>
        <w:top w:val="none" w:sz="0" w:space="0" w:color="auto"/>
        <w:left w:val="none" w:sz="0" w:space="0" w:color="auto"/>
        <w:bottom w:val="none" w:sz="0" w:space="0" w:color="auto"/>
        <w:right w:val="none" w:sz="0" w:space="0" w:color="auto"/>
      </w:divBdr>
    </w:div>
    <w:div w:id="261232807">
      <w:bodyDiv w:val="1"/>
      <w:marLeft w:val="0"/>
      <w:marRight w:val="0"/>
      <w:marTop w:val="0"/>
      <w:marBottom w:val="0"/>
      <w:divBdr>
        <w:top w:val="none" w:sz="0" w:space="0" w:color="auto"/>
        <w:left w:val="none" w:sz="0" w:space="0" w:color="auto"/>
        <w:bottom w:val="none" w:sz="0" w:space="0" w:color="auto"/>
        <w:right w:val="none" w:sz="0" w:space="0" w:color="auto"/>
      </w:divBdr>
    </w:div>
    <w:div w:id="309139793">
      <w:bodyDiv w:val="1"/>
      <w:marLeft w:val="0"/>
      <w:marRight w:val="0"/>
      <w:marTop w:val="0"/>
      <w:marBottom w:val="0"/>
      <w:divBdr>
        <w:top w:val="none" w:sz="0" w:space="0" w:color="auto"/>
        <w:left w:val="none" w:sz="0" w:space="0" w:color="auto"/>
        <w:bottom w:val="none" w:sz="0" w:space="0" w:color="auto"/>
        <w:right w:val="none" w:sz="0" w:space="0" w:color="auto"/>
      </w:divBdr>
    </w:div>
    <w:div w:id="537619366">
      <w:bodyDiv w:val="1"/>
      <w:marLeft w:val="0"/>
      <w:marRight w:val="0"/>
      <w:marTop w:val="0"/>
      <w:marBottom w:val="0"/>
      <w:divBdr>
        <w:top w:val="none" w:sz="0" w:space="0" w:color="auto"/>
        <w:left w:val="none" w:sz="0" w:space="0" w:color="auto"/>
        <w:bottom w:val="none" w:sz="0" w:space="0" w:color="auto"/>
        <w:right w:val="none" w:sz="0" w:space="0" w:color="auto"/>
      </w:divBdr>
    </w:div>
    <w:div w:id="597719699">
      <w:bodyDiv w:val="1"/>
      <w:marLeft w:val="0"/>
      <w:marRight w:val="0"/>
      <w:marTop w:val="0"/>
      <w:marBottom w:val="0"/>
      <w:divBdr>
        <w:top w:val="none" w:sz="0" w:space="0" w:color="auto"/>
        <w:left w:val="none" w:sz="0" w:space="0" w:color="auto"/>
        <w:bottom w:val="none" w:sz="0" w:space="0" w:color="auto"/>
        <w:right w:val="none" w:sz="0" w:space="0" w:color="auto"/>
      </w:divBdr>
    </w:div>
    <w:div w:id="965281187">
      <w:bodyDiv w:val="1"/>
      <w:marLeft w:val="0"/>
      <w:marRight w:val="0"/>
      <w:marTop w:val="0"/>
      <w:marBottom w:val="0"/>
      <w:divBdr>
        <w:top w:val="none" w:sz="0" w:space="0" w:color="auto"/>
        <w:left w:val="none" w:sz="0" w:space="0" w:color="auto"/>
        <w:bottom w:val="none" w:sz="0" w:space="0" w:color="auto"/>
        <w:right w:val="none" w:sz="0" w:space="0" w:color="auto"/>
      </w:divBdr>
    </w:div>
    <w:div w:id="1167282996">
      <w:bodyDiv w:val="1"/>
      <w:marLeft w:val="0"/>
      <w:marRight w:val="0"/>
      <w:marTop w:val="0"/>
      <w:marBottom w:val="0"/>
      <w:divBdr>
        <w:top w:val="none" w:sz="0" w:space="0" w:color="auto"/>
        <w:left w:val="none" w:sz="0" w:space="0" w:color="auto"/>
        <w:bottom w:val="none" w:sz="0" w:space="0" w:color="auto"/>
        <w:right w:val="none" w:sz="0" w:space="0" w:color="auto"/>
      </w:divBdr>
    </w:div>
    <w:div w:id="1412119208">
      <w:bodyDiv w:val="1"/>
      <w:marLeft w:val="0"/>
      <w:marRight w:val="0"/>
      <w:marTop w:val="0"/>
      <w:marBottom w:val="0"/>
      <w:divBdr>
        <w:top w:val="none" w:sz="0" w:space="0" w:color="auto"/>
        <w:left w:val="none" w:sz="0" w:space="0" w:color="auto"/>
        <w:bottom w:val="none" w:sz="0" w:space="0" w:color="auto"/>
        <w:right w:val="none" w:sz="0" w:space="0" w:color="auto"/>
      </w:divBdr>
    </w:div>
    <w:div w:id="2059553253">
      <w:bodyDiv w:val="1"/>
      <w:marLeft w:val="0"/>
      <w:marRight w:val="0"/>
      <w:marTop w:val="0"/>
      <w:marBottom w:val="0"/>
      <w:divBdr>
        <w:top w:val="none" w:sz="0" w:space="0" w:color="auto"/>
        <w:left w:val="none" w:sz="0" w:space="0" w:color="auto"/>
        <w:bottom w:val="none" w:sz="0" w:space="0" w:color="auto"/>
        <w:right w:val="none" w:sz="0" w:space="0" w:color="auto"/>
      </w:divBdr>
    </w:div>
    <w:div w:id="2070959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04BAAC1E30A14EA33890F2381D0735" ma:contentTypeVersion="15" ma:contentTypeDescription="Create a new document." ma:contentTypeScope="" ma:versionID="f6e56b77f285fa252ee98add2f44a30c">
  <xsd:schema xmlns:xsd="http://www.w3.org/2001/XMLSchema" xmlns:xs="http://www.w3.org/2001/XMLSchema" xmlns:p="http://schemas.microsoft.com/office/2006/metadata/properties" xmlns:ns2="f94b866a-a79f-492b-b156-130846bf0882" xmlns:ns3="05a6d4bc-7063-425f-bb75-1b6e6b848e00" targetNamespace="http://schemas.microsoft.com/office/2006/metadata/properties" ma:root="true" ma:fieldsID="2300b1be88293ed7e6d4159b605378ef" ns2:_="" ns3:_="">
    <xsd:import namespace="f94b866a-a79f-492b-b156-130846bf0882"/>
    <xsd:import namespace="05a6d4bc-7063-425f-bb75-1b6e6b848e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b866a-a79f-492b-b156-130846bf0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3c35aa-bdf7-4aed-a035-127d7aae6a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a6d4bc-7063-425f-bb75-1b6e6b848e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737de7-3a46-4b20-bd64-500962774cd1}" ma:internalName="TaxCatchAll" ma:showField="CatchAllData" ma:web="05a6d4bc-7063-425f-bb75-1b6e6b848e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4b866a-a79f-492b-b156-130846bf0882">
      <Terms xmlns="http://schemas.microsoft.com/office/infopath/2007/PartnerControls"/>
    </lcf76f155ced4ddcb4097134ff3c332f>
    <TaxCatchAll xmlns="05a6d4bc-7063-425f-bb75-1b6e6b848e00" xsi:nil="true"/>
  </documentManagement>
</p:properties>
</file>

<file path=customXml/itemProps1.xml><?xml version="1.0" encoding="utf-8"?>
<ds:datastoreItem xmlns:ds="http://schemas.openxmlformats.org/officeDocument/2006/customXml" ds:itemID="{BBA5341E-D30B-4F95-8A48-FED088529255}"/>
</file>

<file path=customXml/itemProps2.xml><?xml version="1.0" encoding="utf-8"?>
<ds:datastoreItem xmlns:ds="http://schemas.openxmlformats.org/officeDocument/2006/customXml" ds:itemID="{99F76F58-B72E-42D7-B908-2BB7C211D6B2}"/>
</file>

<file path=customXml/itemProps3.xml><?xml version="1.0" encoding="utf-8"?>
<ds:datastoreItem xmlns:ds="http://schemas.openxmlformats.org/officeDocument/2006/customXml" ds:itemID="{C40FC69A-F0A5-4581-B4D2-CEC472649C73}"/>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Monthly Newsletter Template</vt:lpstr>
    </vt:vector>
  </TitlesOfParts>
  <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Newsletter Template</dc:title>
  <dc:creator>AC Solutions</dc:creator>
  <cp:lastModifiedBy>Microsoft account</cp:lastModifiedBy>
  <cp:revision>2</cp:revision>
  <cp:lastPrinted>2026-07-08T13:02:00Z</cp:lastPrinted>
  <dcterms:created xsi:type="dcterms:W3CDTF">2026-07-08T14:30:00Z</dcterms:created>
  <dcterms:modified xsi:type="dcterms:W3CDTF">2026-07-08T14:30:00Z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0x010100EE04BAAC1E30A14EA33890F2381D0735</vt:lpwstr>
  </property>
</Properties>
</file>